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41" w:rsidRDefault="00E81141" w:rsidP="00E8114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Przedmiotowe zasady oceniania</w:t>
      </w:r>
    </w:p>
    <w:p w:rsidR="00E81141" w:rsidRDefault="00E81141" w:rsidP="00E8114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Wymagania na ocenę</w:t>
      </w:r>
    </w:p>
    <w:p w:rsidR="00E81141" w:rsidRDefault="00E81141" w:rsidP="00E81141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Historia – 5 </w:t>
      </w:r>
      <w:r>
        <w:rPr>
          <w:b/>
          <w:sz w:val="28"/>
          <w:szCs w:val="28"/>
        </w:rPr>
        <w:t>Technikum- ( szkoła ponadpodstawowa)</w:t>
      </w:r>
      <w:r w:rsidR="000D54F9">
        <w:rPr>
          <w:b/>
          <w:sz w:val="28"/>
          <w:szCs w:val="28"/>
        </w:rPr>
        <w:t xml:space="preserve"> klasa 4 i 5</w:t>
      </w:r>
    </w:p>
    <w:p w:rsidR="005C3598" w:rsidRPr="005C3598" w:rsidRDefault="005C3598" w:rsidP="00E81141">
      <w:pPr>
        <w:jc w:val="center"/>
        <w:rPr>
          <w:rFonts w:cs="Tahoma"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5C3598">
        <w:rPr>
          <w:i/>
          <w:sz w:val="28"/>
          <w:szCs w:val="28"/>
        </w:rPr>
        <w:t>Jeden podręcznik na dwa lata- historia część 4</w:t>
      </w:r>
      <w:r>
        <w:rPr>
          <w:i/>
          <w:sz w:val="28"/>
          <w:szCs w:val="28"/>
        </w:rPr>
        <w:t>)</w:t>
      </w:r>
    </w:p>
    <w:p w:rsidR="00E81141" w:rsidRDefault="00E81141" w:rsidP="00E81141">
      <w:pPr>
        <w:rPr>
          <w:sz w:val="32"/>
          <w:szCs w:val="32"/>
        </w:rPr>
      </w:pPr>
    </w:p>
    <w:p w:rsidR="00E81141" w:rsidRDefault="008C51B4" w:rsidP="00E81141">
      <w:pPr>
        <w:spacing w:after="120"/>
        <w:rPr>
          <w:rFonts w:cs="Times New Roman"/>
        </w:rPr>
      </w:pPr>
      <w:r>
        <w:rPr>
          <w:rFonts w:cs="Times New Roman"/>
        </w:rPr>
        <w:t>Nauczyciele historii</w:t>
      </w:r>
    </w:p>
    <w:p w:rsidR="00E81141" w:rsidRDefault="00E81141" w:rsidP="00E81141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Uwagi wstępne</w:t>
      </w:r>
    </w:p>
    <w:p w:rsidR="00E81141" w:rsidRDefault="00E81141" w:rsidP="00E81141">
      <w:pPr>
        <w:pStyle w:val="Standard"/>
        <w:numPr>
          <w:ilvl w:val="0"/>
          <w:numId w:val="4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początku każdego roku szkolnego – uczniowie na pierwszej lekcji, a rodzice/ prawni opiekunowie na pierwszym zebraniu – są informowani o wymaganiach edukacyjnych, sposobach sprawdzania osiągnięć i kryteriach oceniania oraz o warunkach i trybie uzyskania na koniec roku oceny wyższej niż przewidywana.</w:t>
      </w:r>
    </w:p>
    <w:p w:rsidR="00E81141" w:rsidRDefault="00E81141" w:rsidP="00E81141">
      <w:pPr>
        <w:pStyle w:val="Standard"/>
        <w:numPr>
          <w:ilvl w:val="0"/>
          <w:numId w:val="41"/>
        </w:num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>Oceny i prace są jawne dla uczniów i rodziców/ opiekunów prawnych. Na wniosek zainteresowanej strony nauczyciel uzasadnia swoją ocenę.</w:t>
      </w:r>
    </w:p>
    <w:p w:rsidR="00E81141" w:rsidRDefault="00E81141" w:rsidP="00E81141">
      <w:pPr>
        <w:pStyle w:val="Standard"/>
        <w:numPr>
          <w:ilvl w:val="0"/>
          <w:numId w:val="41"/>
        </w:num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Uczeń posiadający opinię lub orzeczenie z Poradni Pedagogiczno-Psychologicznej ma każdorazowo dostosowany sposób zdobywania wiedzy, umiejętności i ocen zgodnie z indywidualnymi potrzebami psycho-edukacyjnymi ucznia. Istnieje możliwość zaprezentowania przygotowanego materiału w sposób dogodny dla ucznia, wynikający z zaleceń. Rozdział VIII </w:t>
      </w:r>
      <w:r>
        <w:rPr>
          <w:b/>
          <w:sz w:val="22"/>
          <w:szCs w:val="22"/>
        </w:rPr>
        <w:t>§ 60 Statutu Szkoły</w:t>
      </w:r>
    </w:p>
    <w:p w:rsidR="00E81141" w:rsidRDefault="00E81141" w:rsidP="00E81141">
      <w:pPr>
        <w:spacing w:after="120"/>
        <w:rPr>
          <w:rFonts w:cs="Times New Roman"/>
        </w:rPr>
      </w:pPr>
    </w:p>
    <w:p w:rsidR="00E81141" w:rsidRDefault="00E81141" w:rsidP="00E81141">
      <w:pPr>
        <w:widowControl w:val="0"/>
        <w:numPr>
          <w:ilvl w:val="0"/>
          <w:numId w:val="42"/>
        </w:numPr>
        <w:spacing w:after="120" w:line="240" w:lineRule="auto"/>
        <w:ind w:left="714" w:hanging="357"/>
        <w:rPr>
          <w:rFonts w:cs="Times New Roman"/>
        </w:rPr>
      </w:pPr>
      <w:r>
        <w:rPr>
          <w:rFonts w:cs="Times New Roman"/>
          <w:b/>
        </w:rPr>
        <w:t>Cele oceniania:</w:t>
      </w:r>
      <w:r>
        <w:rPr>
          <w:rFonts w:cs="Times New Roman"/>
        </w:rPr>
        <w:br/>
        <w:t>poinformowanie ucznia i jego rodziców o poziomie osiągnięć edukacyjnych, monitorowanie postępów ucznia, motywowanie ucznia do dalszej pracy, dokonanie klasyfikacji, określenie efektywności stosowanych przez nauczyciela metod pracy, planowanie procesu nauczania przez nauczyciela.</w:t>
      </w:r>
    </w:p>
    <w:p w:rsidR="00E81141" w:rsidRDefault="00E81141" w:rsidP="00E81141">
      <w:pPr>
        <w:widowControl w:val="0"/>
        <w:numPr>
          <w:ilvl w:val="0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Formy sprawdzania wiedzy i umiejętności:</w:t>
      </w:r>
      <w:r>
        <w:rPr>
          <w:rFonts w:cs="Times New Roman"/>
        </w:rPr>
        <w:br/>
      </w:r>
      <w:r>
        <w:rPr>
          <w:rFonts w:cs="Times New Roman"/>
          <w:i/>
        </w:rPr>
        <w:t>-Formy pisemne</w:t>
      </w:r>
      <w:r>
        <w:rPr>
          <w:rFonts w:cs="Times New Roman"/>
        </w:rPr>
        <w:t>: sprawdziany, testy, kartkówki, terminowe opracowania, zadania wykonywane w czasie lekcji, pisemne prace domowe, projekty</w:t>
      </w:r>
    </w:p>
    <w:p w:rsidR="00E81141" w:rsidRDefault="00E81141" w:rsidP="00E81141">
      <w:pPr>
        <w:ind w:left="720"/>
        <w:rPr>
          <w:rFonts w:cs="Times New Roman"/>
        </w:rPr>
      </w:pPr>
      <w:r>
        <w:rPr>
          <w:rFonts w:cs="Times New Roman"/>
          <w:i/>
        </w:rPr>
        <w:t>-Formy ustne:</w:t>
      </w:r>
      <w:r>
        <w:rPr>
          <w:rFonts w:cs="Times New Roman"/>
        </w:rPr>
        <w:t xml:space="preserve"> prezentacje swoich prac na lekcji, odpowiedzi ustne, prezentowane przez uczniów własne sady, opinie, przygotowanie materiału do nowej lekcji.</w:t>
      </w:r>
    </w:p>
    <w:p w:rsidR="00E81141" w:rsidRDefault="00E81141" w:rsidP="00E81141">
      <w:pPr>
        <w:ind w:left="720"/>
        <w:rPr>
          <w:rFonts w:cs="Times New Roman"/>
        </w:rPr>
      </w:pPr>
      <w:r>
        <w:rPr>
          <w:rFonts w:cs="Times New Roman"/>
          <w:i/>
        </w:rPr>
        <w:t>-Uczniowie otrzymują ocenę</w:t>
      </w:r>
      <w:r>
        <w:rPr>
          <w:rFonts w:cs="Times New Roman"/>
        </w:rPr>
        <w:t xml:space="preserve"> za odpowiedzi ustne i pisemne, prezentację dłuższych wypowiedzi, za udział w dyskusji, za przygotowanie materiałów do lekcji w różnej formie, za zajęcie znaczącego miejsca w konkursie lub olimpiadzie, za prace domowe wykonywane w zeszycie i w innych formach, upamiętnianie rocznic historycznych, przygotowywanie wystroju gablotek szkolnych.</w:t>
      </w:r>
    </w:p>
    <w:p w:rsidR="00E81141" w:rsidRDefault="00E81141" w:rsidP="00E81141">
      <w:pPr>
        <w:spacing w:after="120"/>
        <w:ind w:left="720"/>
        <w:rPr>
          <w:rFonts w:cs="Times New Roman"/>
        </w:rPr>
      </w:pPr>
      <w:r>
        <w:rPr>
          <w:rFonts w:cs="Times New Roman"/>
          <w:i/>
        </w:rPr>
        <w:t xml:space="preserve">-Przy odpowiedzi ustnej i pisemnej ocenie podlegają: </w:t>
      </w:r>
      <w:r>
        <w:rPr>
          <w:rFonts w:cs="Times New Roman"/>
        </w:rPr>
        <w:t>poziom merytoryczny, dobór i zakres treści, wyjaśnienie zjawisk</w:t>
      </w:r>
      <w:r>
        <w:rPr>
          <w:rFonts w:cs="Times New Roman"/>
        </w:rPr>
        <w:br/>
        <w:t>i procesów historycznych, chronologia, poprawność stylistyczna, samodzielność i dokładność, konstrukcja pracy</w:t>
      </w:r>
      <w:r>
        <w:rPr>
          <w:rFonts w:cs="Times New Roman"/>
        </w:rPr>
        <w:br/>
        <w:t xml:space="preserve"> i estetyka (prace pisemne)</w:t>
      </w:r>
    </w:p>
    <w:p w:rsidR="00E81141" w:rsidRDefault="00E81141" w:rsidP="00E81141">
      <w:pPr>
        <w:widowControl w:val="0"/>
        <w:numPr>
          <w:ilvl w:val="0"/>
          <w:numId w:val="42"/>
        </w:num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</w:rPr>
        <w:lastRenderedPageBreak/>
        <w:t>Narzędzia oceniania: ćwiczenia wykonywane na lekcji, pisemne sprawdziany wiadomości zapowiadane z tygodniowym wyprzedzeniem (45 min),  sprawdziany semestralne, testy, kartkówki zapowiadane i niezapowiadane (10-15 min) sprawdzające materiał z trzech ostatnich lekcji, odpowiedzi ustne, ćwiczenia, wszelkie formy aktywności ucznia, prace dodatkowe, sprawozdania z wyjść, wycieczek, prace wykonywane na rzecz szkoły,udział w projektach organizowanych przez nauczyciela przedmiotu lub zewnętrznych organizatorów.</w:t>
      </w:r>
      <w:r>
        <w:rPr>
          <w:rFonts w:cs="Times New Roman"/>
          <w:b/>
          <w:i/>
        </w:rPr>
        <w:br/>
      </w:r>
    </w:p>
    <w:p w:rsidR="00E81141" w:rsidRDefault="00E81141" w:rsidP="00E81141">
      <w:pPr>
        <w:widowControl w:val="0"/>
        <w:numPr>
          <w:ilvl w:val="0"/>
          <w:numId w:val="42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Przygotowanie do lekcji:</w:t>
      </w:r>
    </w:p>
    <w:p w:rsidR="00E81141" w:rsidRDefault="00E81141" w:rsidP="00E81141">
      <w:pPr>
        <w:widowControl w:val="0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ma obowiązek mieć na lekcji podręcznik, zeszyt przedmiotowy, wykonywać zadania domowe i inne zadania zlecone przez nauczyciela typu: prezentacja, port folio itp.,</w:t>
      </w:r>
    </w:p>
    <w:p w:rsidR="00E81141" w:rsidRDefault="00E81141" w:rsidP="00E81141">
      <w:pPr>
        <w:widowControl w:val="0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brak podręcznika, zeszytu, brak zadania domowego, brak wiedzy z przerobionego materiału traktowane jest jako nieprzygotowanie do lekcji,</w:t>
      </w:r>
    </w:p>
    <w:p w:rsidR="00E81141" w:rsidRDefault="00E81141" w:rsidP="00E81141">
      <w:pPr>
        <w:widowControl w:val="0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ma prawo zgłosić </w:t>
      </w:r>
      <w:r>
        <w:rPr>
          <w:rFonts w:cs="Times New Roman"/>
          <w:b/>
        </w:rPr>
        <w:t>2 nieprzygotowania przy dwóch godzinach</w:t>
      </w:r>
      <w:r>
        <w:rPr>
          <w:rFonts w:cs="Times New Roman"/>
        </w:rPr>
        <w:t xml:space="preserve"> przedmiotu w tygodniu lub </w:t>
      </w:r>
    </w:p>
    <w:p w:rsidR="00E81141" w:rsidRDefault="00E81141" w:rsidP="00E81141">
      <w:pPr>
        <w:ind w:left="720"/>
        <w:rPr>
          <w:rFonts w:cs="Times New Roman"/>
        </w:rPr>
      </w:pPr>
      <w:r>
        <w:rPr>
          <w:rFonts w:cs="Times New Roman"/>
          <w:b/>
        </w:rPr>
        <w:t xml:space="preserve">1 nieprzygotowanie przy jednej godzinie </w:t>
      </w:r>
      <w:r>
        <w:rPr>
          <w:rFonts w:cs="Times New Roman"/>
        </w:rPr>
        <w:t>tygodniowo,</w:t>
      </w:r>
    </w:p>
    <w:p w:rsidR="00E81141" w:rsidRDefault="00E81141" w:rsidP="00E81141">
      <w:pPr>
        <w:widowControl w:val="0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może poprawić ocenę z zaległych sprawdzianów, testów w terminie wyznaczonym przez nauczyciela, najczęściej poprawa odbywa się w ciągu 2 tygodni od ustania nieobecności w szkole,</w:t>
      </w:r>
    </w:p>
    <w:p w:rsidR="00E81141" w:rsidRDefault="00E81141" w:rsidP="00E81141">
      <w:pPr>
        <w:widowControl w:val="0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wiedza ucznia w czasie ustnej odpowiedzi jest sprawdzana z co najmniej </w:t>
      </w:r>
      <w:r>
        <w:rPr>
          <w:rFonts w:cs="Times New Roman"/>
          <w:b/>
        </w:rPr>
        <w:t>3 lekcji wstecz, czasami jednak zakres wiedzy posiadanej przez ucznia powinien być większy,</w:t>
      </w:r>
    </w:p>
    <w:p w:rsidR="00E81141" w:rsidRDefault="00E81141" w:rsidP="00E81141">
      <w:pPr>
        <w:pStyle w:val="Stopka"/>
        <w:widowControl w:val="0"/>
        <w:numPr>
          <w:ilvl w:val="0"/>
          <w:numId w:val="43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każdy sprawdzian pisemny ( po zakończeniu działu lub innej większej części partii materiału)  jest zapowiedziany przynajmniej na tydzień przed jego terminem, natomiast sprawdzian semestralny lub roczny z wyprzedzeniem miesięcznym,</w:t>
      </w:r>
    </w:p>
    <w:p w:rsidR="00E81141" w:rsidRDefault="00E81141" w:rsidP="00E81141">
      <w:pPr>
        <w:widowControl w:val="0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kryteria odpowiedzi ustnej: stopień wyczerpania wiedzy, forma i kompozycja odpowiedzi, samodzielność odpowiedzi, umiejętność korzystania z map historycznych, umiejętność analizowania źródeł historycznych itp.,</w:t>
      </w:r>
    </w:p>
    <w:p w:rsidR="00E81141" w:rsidRDefault="00E81141" w:rsidP="00E81141">
      <w:pPr>
        <w:widowControl w:val="0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korzystanie z „jakiejkolwiek” niedozwolonej pomocy w czasie odpowiedzi ustnej lub pisemnej traktowane jest jako nieprzygotowanie ucznia i brak wiedzy i jest  jednoznaczne z oceną niedostateczną. Domowa </w:t>
      </w:r>
      <w:r>
        <w:rPr>
          <w:rFonts w:cs="Times New Roman"/>
          <w:b/>
        </w:rPr>
        <w:t>praca niesamodzielna</w:t>
      </w:r>
      <w:r>
        <w:rPr>
          <w:rFonts w:cs="Times New Roman"/>
        </w:rPr>
        <w:t xml:space="preserve"> oceniona zostaje na ocenę niedostateczną z wpisem punktów ujemnych za oszustwo. Praca niesamodzielna na sprawdzianie czy kartkówce skutkuje odebraniem arkusza i wpisem oceny niedostatecznej oraz punktów ujemnych z zachowania. Odpowiedź ustna udzielona w wyniku podpowiedzi skutkuje wpisem oceny niedostatecznej odpowiadającemu i podpowiadającemu (co nie znaczy, że nie ma szansy uzyskania oceny pozytywnej z odpowiedzi ustnej</w:t>
      </w:r>
      <w:r>
        <w:rPr>
          <w:rFonts w:cs="Times New Roman"/>
          <w:b/>
        </w:rPr>
        <w:t>). Uczeń nie ma możliwości poprawy tak uzyskanych ocen</w:t>
      </w:r>
      <w:r>
        <w:rPr>
          <w:rFonts w:cs="Times New Roman"/>
        </w:rPr>
        <w:t>.</w:t>
      </w:r>
    </w:p>
    <w:p w:rsidR="00E81141" w:rsidRDefault="00E81141" w:rsidP="00E81141">
      <w:pPr>
        <w:widowControl w:val="0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za aktywność na lekcji otrzymuje „plusy” i „minusy” ( 4 plusy ocena bdb,  3 plusy ocena db,  itd., </w:t>
      </w:r>
      <w:r>
        <w:rPr>
          <w:rFonts w:cs="Times New Roman"/>
        </w:rPr>
        <w:br/>
        <w:t xml:space="preserve"> 2 minusy ocena ndst.),</w:t>
      </w:r>
    </w:p>
    <w:p w:rsidR="00E81141" w:rsidRDefault="00E81141" w:rsidP="00E81141">
      <w:pPr>
        <w:widowControl w:val="0"/>
        <w:numPr>
          <w:ilvl w:val="0"/>
          <w:numId w:val="4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za brak pracy na lekcji oraz przeszkadzanie innym uczniom w pracy na lekcji uczeń może otrzymać punkty ujemne zgodnie </w:t>
      </w:r>
      <w:r>
        <w:rPr>
          <w:rFonts w:cs="Times New Roman"/>
        </w:rPr>
        <w:br/>
        <w:t>z kryteriami oceny za zachowanie.</w:t>
      </w:r>
    </w:p>
    <w:p w:rsidR="00E81141" w:rsidRDefault="00E81141" w:rsidP="00E81141">
      <w:pPr>
        <w:ind w:left="720"/>
        <w:rPr>
          <w:rFonts w:cs="Times New Roman"/>
        </w:rPr>
      </w:pPr>
    </w:p>
    <w:p w:rsidR="00E81141" w:rsidRDefault="00E81141" w:rsidP="00E81141">
      <w:pPr>
        <w:pStyle w:val="Stopka"/>
        <w:tabs>
          <w:tab w:val="left" w:pos="708"/>
        </w:tabs>
        <w:rPr>
          <w:rFonts w:cs="Times New Roman"/>
          <w:b/>
        </w:rPr>
      </w:pPr>
      <w:r>
        <w:rPr>
          <w:rFonts w:cs="Times New Roman"/>
          <w:b/>
        </w:rPr>
        <w:t>Kryteria oceny prac pisemnych na sprawdzianach po zakończeniu  cyklu nauczania: działu, epoki.</w:t>
      </w:r>
    </w:p>
    <w:p w:rsidR="00E81141" w:rsidRDefault="00E81141" w:rsidP="00E81141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0 –39% punktów             ocena niedostateczna</w:t>
      </w:r>
    </w:p>
    <w:p w:rsidR="00E81141" w:rsidRDefault="00E81141" w:rsidP="00E81141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40-54% punktów             ocena dopuszczająca</w:t>
      </w:r>
    </w:p>
    <w:p w:rsidR="00E81141" w:rsidRDefault="00E81141" w:rsidP="00E81141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55-79% punktów             ocena dostateczna</w:t>
      </w:r>
    </w:p>
    <w:p w:rsidR="00E81141" w:rsidRDefault="00E81141" w:rsidP="00E81141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lastRenderedPageBreak/>
        <w:t>80-89% punktów             ocena dobra</w:t>
      </w:r>
    </w:p>
    <w:p w:rsidR="00E81141" w:rsidRDefault="00E81141" w:rsidP="00E81141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90-99%punktów              ocena bardzo dobra</w:t>
      </w:r>
    </w:p>
    <w:p w:rsidR="00E81141" w:rsidRDefault="00E81141" w:rsidP="00E81141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100%punktów            ocena celująca</w:t>
      </w:r>
    </w:p>
    <w:p w:rsidR="00E81141" w:rsidRDefault="00E81141" w:rsidP="00E81141">
      <w:pPr>
        <w:pStyle w:val="Stopka"/>
        <w:tabs>
          <w:tab w:val="left" w:pos="708"/>
        </w:tabs>
        <w:rPr>
          <w:rFonts w:cs="Times New Roman"/>
        </w:rPr>
      </w:pPr>
    </w:p>
    <w:p w:rsidR="00E81141" w:rsidRDefault="00E81141" w:rsidP="00E81141">
      <w:pPr>
        <w:rPr>
          <w:rFonts w:cs="Times New Roman"/>
          <w:b/>
        </w:rPr>
      </w:pPr>
      <w:r>
        <w:rPr>
          <w:rFonts w:cs="Times New Roman"/>
          <w:b/>
        </w:rPr>
        <w:t>Kryteria oceny egzaminu poprawkowego i klasyfikacyjnego:</w:t>
      </w:r>
    </w:p>
    <w:p w:rsidR="00E81141" w:rsidRDefault="00E81141" w:rsidP="00E81141">
      <w:pPr>
        <w:rPr>
          <w:rFonts w:cs="Times New Roman"/>
        </w:rPr>
      </w:pPr>
      <w:r>
        <w:rPr>
          <w:rFonts w:cs="Times New Roman"/>
        </w:rPr>
        <w:t>0%-29% niedostateczny</w:t>
      </w:r>
    </w:p>
    <w:p w:rsidR="00E81141" w:rsidRDefault="00E81141" w:rsidP="00E81141">
      <w:pPr>
        <w:rPr>
          <w:rFonts w:cs="Times New Roman"/>
        </w:rPr>
      </w:pPr>
      <w:r>
        <w:rPr>
          <w:rFonts w:cs="Times New Roman"/>
        </w:rPr>
        <w:t>30%- 50% dopuszczający</w:t>
      </w:r>
    </w:p>
    <w:p w:rsidR="00E81141" w:rsidRDefault="00E81141" w:rsidP="00E81141">
      <w:pPr>
        <w:rPr>
          <w:rFonts w:cs="Times New Roman"/>
        </w:rPr>
      </w:pPr>
      <w:r>
        <w:rPr>
          <w:rFonts w:cs="Times New Roman"/>
        </w:rPr>
        <w:t>51%- 70% dostateczny</w:t>
      </w:r>
    </w:p>
    <w:p w:rsidR="00E81141" w:rsidRDefault="00E81141" w:rsidP="00E81141">
      <w:pPr>
        <w:rPr>
          <w:rFonts w:cs="Times New Roman"/>
        </w:rPr>
      </w:pPr>
      <w:r>
        <w:rPr>
          <w:rFonts w:cs="Times New Roman"/>
        </w:rPr>
        <w:t>71%-90% dobry</w:t>
      </w:r>
    </w:p>
    <w:p w:rsidR="00E81141" w:rsidRDefault="00E81141" w:rsidP="00E81141">
      <w:pPr>
        <w:spacing w:after="120"/>
        <w:ind w:left="11"/>
        <w:rPr>
          <w:rFonts w:cs="Times New Roman"/>
          <w:b/>
        </w:rPr>
      </w:pPr>
      <w:r>
        <w:rPr>
          <w:rFonts w:cs="Times New Roman"/>
        </w:rPr>
        <w:t>91%- 100% bardzo dobry</w:t>
      </w:r>
    </w:p>
    <w:p w:rsidR="00E81141" w:rsidRDefault="00E81141" w:rsidP="00E81141">
      <w:pPr>
        <w:rPr>
          <w:rFonts w:cs="Times New Roman"/>
          <w:b/>
        </w:rPr>
      </w:pPr>
      <w:r>
        <w:rPr>
          <w:rFonts w:cs="Times New Roman"/>
          <w:b/>
        </w:rPr>
        <w:br/>
        <w:t>3. Udostępnianie prac:</w:t>
      </w:r>
    </w:p>
    <w:p w:rsidR="00E81141" w:rsidRDefault="00E81141" w:rsidP="00E81141">
      <w:pPr>
        <w:widowControl w:val="0"/>
        <w:numPr>
          <w:ilvl w:val="0"/>
          <w:numId w:val="4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sprawdzone prace uczniowie mają do wglądu po wpisaniu ocen do dziennika, ale ze względów organizacyjnych dokładne oglądanie prac odbywa się w czasie dodatkowej godziny ustalonej z klasą,</w:t>
      </w:r>
    </w:p>
    <w:p w:rsidR="00E81141" w:rsidRDefault="00E81141" w:rsidP="00E81141">
      <w:pPr>
        <w:widowControl w:val="0"/>
        <w:numPr>
          <w:ilvl w:val="0"/>
          <w:numId w:val="4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są omawiane na lekcji, natomiast poprawa ocen odbywa się na dodatkowych godzinach,</w:t>
      </w:r>
    </w:p>
    <w:p w:rsidR="00E81141" w:rsidRDefault="00E81141" w:rsidP="00E81141">
      <w:pPr>
        <w:widowControl w:val="0"/>
        <w:numPr>
          <w:ilvl w:val="0"/>
          <w:numId w:val="4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rodzice mogą obejrzeć prace uczniów w czasie konsultacji indywidualnych lub zebrań z rodzicami,</w:t>
      </w:r>
    </w:p>
    <w:p w:rsidR="00E81141" w:rsidRDefault="00E81141" w:rsidP="00E81141">
      <w:pPr>
        <w:widowControl w:val="0"/>
        <w:numPr>
          <w:ilvl w:val="0"/>
          <w:numId w:val="4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uczniów przechowuje nauczyciel w sali lekcyjnej, po klasyfikacji rocznej oddawane są uczniom lub niszczone przez nauczyciela.</w:t>
      </w:r>
    </w:p>
    <w:p w:rsidR="00E81141" w:rsidRDefault="00E81141" w:rsidP="00E81141">
      <w:pPr>
        <w:ind w:left="720"/>
        <w:rPr>
          <w:rFonts w:cs="Times New Roman"/>
        </w:rPr>
      </w:pPr>
    </w:p>
    <w:p w:rsidR="00E81141" w:rsidRDefault="00E81141" w:rsidP="00E81141">
      <w:pPr>
        <w:widowControl w:val="0"/>
        <w:numPr>
          <w:ilvl w:val="0"/>
          <w:numId w:val="46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i tryb uzyskania oceny wyższej niż przewidywana – śródrocznej</w:t>
      </w:r>
      <w:r>
        <w:rPr>
          <w:rFonts w:cs="Times New Roman"/>
          <w:b/>
        </w:rPr>
        <w:br/>
      </w:r>
      <w:r>
        <w:rPr>
          <w:rFonts w:cs="Times New Roman"/>
        </w:rPr>
        <w:t>Uczeń może uzyskać ocenę wyższą niż proponowana w przypadku gdy z ocen bieżących nie wynika ona w sposób jednoznaczny. Chęć poprawienia oceny uczeń zgłasza na 2 tygodnie przed ostatecznym terminem wystawienia ocen końcowych (semestralnych). Poprawa odbywa się w obecności uczniów w formie pisemnej lub ustnej z zakresu materiału i w terminie podanym przez nauczyciela, ustalonym w każdym przypadku indywidualnie.</w:t>
      </w:r>
    </w:p>
    <w:p w:rsidR="00E81141" w:rsidRDefault="00E81141" w:rsidP="00E81141">
      <w:pPr>
        <w:tabs>
          <w:tab w:val="left" w:pos="720"/>
        </w:tabs>
        <w:rPr>
          <w:rFonts w:cs="Times New Roman"/>
          <w:b/>
        </w:rPr>
      </w:pPr>
    </w:p>
    <w:p w:rsidR="00E81141" w:rsidRDefault="00E81141" w:rsidP="00E81141">
      <w:pPr>
        <w:widowControl w:val="0"/>
        <w:numPr>
          <w:ilvl w:val="0"/>
          <w:numId w:val="42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Tryb i warunki uzyskania wyższej niż przewidywana oceny rocznej</w:t>
      </w:r>
    </w:p>
    <w:p w:rsidR="00E81141" w:rsidRDefault="00E81141" w:rsidP="00E81141">
      <w:pPr>
        <w:ind w:left="708"/>
        <w:rPr>
          <w:rFonts w:cs="Times New Roman"/>
          <w:b/>
        </w:rPr>
      </w:pPr>
      <w:r>
        <w:rPr>
          <w:rFonts w:cs="Times New Roman"/>
          <w:b/>
        </w:rPr>
        <w:t>Wynikają z rozdziału VIII § 63 Statutu Szkoły</w:t>
      </w:r>
    </w:p>
    <w:p w:rsidR="00E81141" w:rsidRDefault="00E81141" w:rsidP="00E81141">
      <w:pPr>
        <w:widowControl w:val="0"/>
        <w:numPr>
          <w:ilvl w:val="0"/>
          <w:numId w:val="47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może ubiegać się o podwyższenie zaproponowanej przez nauczyciela oceny rocznej tylko o jeden stopień </w:t>
      </w:r>
      <w:r>
        <w:rPr>
          <w:rFonts w:cs="Times New Roman"/>
        </w:rPr>
        <w:br/>
        <w:t>( z wyjątkiem oceny celującej – reguluje ją  oddzielny przepis statutu § 61 ust.5 pkt 1)</w:t>
      </w:r>
      <w:r>
        <w:rPr>
          <w:rFonts w:cs="Times New Roman"/>
        </w:rPr>
        <w:br/>
        <w:t>Warunki ubiegania się o ocenę wyższą niż przewidywana:</w:t>
      </w:r>
    </w:p>
    <w:p w:rsidR="00E81141" w:rsidRDefault="00E81141" w:rsidP="00E81141">
      <w:pPr>
        <w:ind w:left="720"/>
        <w:rPr>
          <w:rFonts w:cs="Times New Roman"/>
        </w:rPr>
      </w:pPr>
      <w:r>
        <w:rPr>
          <w:rFonts w:cs="Times New Roman"/>
        </w:rPr>
        <w:t>- frekwencja z przedmiotu nie niższa niż 70% w roku szkolnym ( z wyjątkiem długotrwałej choroby)</w:t>
      </w:r>
    </w:p>
    <w:p w:rsidR="00E81141" w:rsidRDefault="00E81141" w:rsidP="00E81141">
      <w:pPr>
        <w:ind w:left="720"/>
        <w:rPr>
          <w:rFonts w:cs="Times New Roman"/>
        </w:rPr>
      </w:pPr>
      <w:r>
        <w:rPr>
          <w:rFonts w:cs="Times New Roman"/>
        </w:rPr>
        <w:lastRenderedPageBreak/>
        <w:t>- przystąpienie do co najmniej 60% przewidywanych form sprawdzania wiedzy (również w trybie poprawy ocen)</w:t>
      </w:r>
    </w:p>
    <w:p w:rsidR="00E81141" w:rsidRDefault="00E81141" w:rsidP="00E81141">
      <w:pPr>
        <w:ind w:left="720"/>
        <w:rPr>
          <w:rFonts w:cs="Times New Roman"/>
        </w:rPr>
      </w:pPr>
      <w:r>
        <w:rPr>
          <w:rFonts w:cs="Times New Roman"/>
        </w:rPr>
        <w:t xml:space="preserve">- uzyskanie co najmniej z 30 % form sprawdzania wiedzy ocen wyższych niż ocena przewidywana (również </w:t>
      </w:r>
    </w:p>
    <w:p w:rsidR="00E81141" w:rsidRDefault="00E81141" w:rsidP="00E81141">
      <w:pPr>
        <w:ind w:left="720"/>
        <w:rPr>
          <w:rFonts w:cs="Times New Roman"/>
        </w:rPr>
      </w:pPr>
      <w:r>
        <w:rPr>
          <w:rFonts w:cs="Times New Roman"/>
        </w:rPr>
        <w:t>w trybie poprawy ocen)</w:t>
      </w:r>
    </w:p>
    <w:p w:rsidR="00E81141" w:rsidRDefault="00E81141" w:rsidP="00E81141">
      <w:pPr>
        <w:ind w:left="720"/>
        <w:rPr>
          <w:rFonts w:cs="Times New Roman"/>
        </w:rPr>
      </w:pPr>
      <w:r>
        <w:rPr>
          <w:rFonts w:cs="Times New Roman"/>
        </w:rPr>
        <w:t>-Nauczyciel sprawdza spełnienie warunków  w ust. 6 § 63 Statutu Szkoły, w przypadku niespełnienia któregokolwiek</w:t>
      </w:r>
      <w:r>
        <w:rPr>
          <w:rFonts w:cs="Times New Roman"/>
        </w:rPr>
        <w:br/>
        <w:t xml:space="preserve"> z warunków uczeń nie może ubiegać się o podwyższenie oceny.</w:t>
      </w:r>
    </w:p>
    <w:p w:rsidR="00E81141" w:rsidRDefault="00E81141" w:rsidP="00E81141">
      <w:pPr>
        <w:spacing w:after="120"/>
        <w:ind w:left="720"/>
        <w:rPr>
          <w:rFonts w:cs="Times New Roman"/>
        </w:rPr>
      </w:pPr>
      <w:r>
        <w:rPr>
          <w:rFonts w:cs="Times New Roman"/>
        </w:rPr>
        <w:t>-Uczeń ubiegający się o podwyższenie oceny jest zobowiązany ustalić z nauczycielem zakres materiału jaki ma opanować, formę i termin sprawdzenia jego wiedzy.</w:t>
      </w:r>
    </w:p>
    <w:p w:rsidR="00E81141" w:rsidRDefault="00E81141" w:rsidP="00E81141">
      <w:pPr>
        <w:spacing w:after="120"/>
        <w:ind w:left="720"/>
        <w:rPr>
          <w:rFonts w:cs="Times New Roman"/>
          <w:b/>
        </w:rPr>
      </w:pPr>
      <w:r>
        <w:rPr>
          <w:rFonts w:cs="Times New Roman"/>
          <w:b/>
        </w:rPr>
        <w:t xml:space="preserve">Uczeń może otrzymać ocenę niższą niż przewidywana roczna z zajęć edukacyjnych, jeżeli w okresie od poinformowania o przewidywanych ocenach do ostatecznego terminu wystawienia ocen rocznych nie realizuje podstawy programowej </w:t>
      </w:r>
      <w:r>
        <w:rPr>
          <w:rFonts w:cs="Times New Roman"/>
          <w:b/>
        </w:rPr>
        <w:br/>
        <w:t>z danego przedmiotu lub nie spełnia kryteriów uzyskania tej oceny.</w:t>
      </w:r>
    </w:p>
    <w:p w:rsidR="00E81141" w:rsidRDefault="00E81141" w:rsidP="00E81141">
      <w:pPr>
        <w:widowControl w:val="0"/>
        <w:numPr>
          <w:ilvl w:val="0"/>
          <w:numId w:val="47"/>
        </w:numPr>
        <w:tabs>
          <w:tab w:val="left" w:pos="720"/>
        </w:tabs>
        <w:spacing w:after="0" w:line="240" w:lineRule="auto"/>
        <w:rPr>
          <w:rFonts w:cs="Times New Roman"/>
          <w:i/>
          <w:iCs/>
        </w:rPr>
      </w:pPr>
      <w:r>
        <w:rPr>
          <w:rFonts w:cs="Times New Roman"/>
        </w:rPr>
        <w:t xml:space="preserve">W przypadku otrzymania oceny ndst. na koniec roku szkolnego lub zgłoszenia zastrzeżeń przez ucznia do oceny obowiązuje </w:t>
      </w:r>
      <w:r>
        <w:rPr>
          <w:rFonts w:cs="Times New Roman"/>
          <w:i/>
          <w:iCs/>
        </w:rPr>
        <w:t xml:space="preserve">Regulamin dotyczący warunków i sposobów oceniania, klasyfikowania i promowania zawarty </w:t>
      </w:r>
      <w:r>
        <w:rPr>
          <w:rFonts w:cs="Times New Roman"/>
          <w:i/>
          <w:iCs/>
        </w:rPr>
        <w:br/>
        <w:t>w Statucie Szkoły</w:t>
      </w:r>
    </w:p>
    <w:p w:rsidR="00E81141" w:rsidRDefault="00E81141" w:rsidP="00E81141">
      <w:pPr>
        <w:pStyle w:val="Stopka"/>
        <w:tabs>
          <w:tab w:val="left" w:pos="708"/>
        </w:tabs>
        <w:rPr>
          <w:rFonts w:cs="Times New Roman"/>
        </w:rPr>
      </w:pPr>
    </w:p>
    <w:p w:rsidR="00E81141" w:rsidRDefault="00E81141" w:rsidP="00E81141">
      <w:pPr>
        <w:pStyle w:val="Standard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Przeliczenie średniej ważonej na semestr i koniec roku:</w:t>
      </w:r>
    </w:p>
    <w:p w:rsidR="00E81141" w:rsidRDefault="00E81141" w:rsidP="00E8114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powyżej 5,75 – celujący (przy spełnieniu warunków o uzyskiwaniu oceny)</w:t>
      </w:r>
    </w:p>
    <w:p w:rsidR="00E81141" w:rsidRDefault="00E81141" w:rsidP="00E81141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4,75 – bardzo dobry</w:t>
      </w:r>
    </w:p>
    <w:p w:rsidR="00E81141" w:rsidRDefault="00E81141" w:rsidP="00E81141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3,75 – dobry,</w:t>
      </w:r>
    </w:p>
    <w:p w:rsidR="00E81141" w:rsidRDefault="00E81141" w:rsidP="00E81141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2,75 – dostateczny</w:t>
      </w:r>
    </w:p>
    <w:p w:rsidR="00E81141" w:rsidRDefault="00E81141" w:rsidP="00E81141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powyżej 1,75 – </w:t>
      </w:r>
      <w:bookmarkStart w:id="0" w:name="_Hlk524036993"/>
      <w:r>
        <w:rPr>
          <w:sz w:val="22"/>
          <w:szCs w:val="22"/>
        </w:rPr>
        <w:t xml:space="preserve">dopuszczający. </w:t>
      </w:r>
    </w:p>
    <w:p w:rsidR="00E81141" w:rsidRDefault="00E81141" w:rsidP="00E81141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wyjątkowych sytuacjach średnia ważona z dziennika elektronicznego jest sugestią do wystawienia oceny końcowej.</w:t>
      </w:r>
      <w:bookmarkEnd w:id="0"/>
    </w:p>
    <w:p w:rsidR="00E81141" w:rsidRDefault="00E81141" w:rsidP="00E81141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3- sprawdziany i testy, 2- odpowiedzi ustne i kartkówki, 1- pozostałe oceny</w:t>
      </w:r>
    </w:p>
    <w:p w:rsidR="00E81141" w:rsidRDefault="00E81141" w:rsidP="00E81141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Dodatkową formą sprawdzenia wiedzy jest praca kontrolna z wagą – 5.</w:t>
      </w:r>
    </w:p>
    <w:p w:rsidR="00E81141" w:rsidRDefault="00E81141" w:rsidP="00E81141">
      <w:pPr>
        <w:pStyle w:val="Standard"/>
        <w:jc w:val="both"/>
        <w:rPr>
          <w:b/>
          <w:sz w:val="22"/>
          <w:szCs w:val="22"/>
        </w:rPr>
      </w:pPr>
    </w:p>
    <w:p w:rsidR="00E81141" w:rsidRDefault="00E81141" w:rsidP="00E81141">
      <w:pPr>
        <w:pStyle w:val="NormalnyWeb"/>
        <w:numPr>
          <w:ilvl w:val="0"/>
          <w:numId w:val="42"/>
        </w:numPr>
        <w:spacing w:before="0" w:beforeAutospacing="0"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Warunki, sposoby pracy i oceniania podczas nauczania zdalnego:</w:t>
      </w:r>
    </w:p>
    <w:p w:rsidR="00E81141" w:rsidRDefault="00E81141" w:rsidP="00E81141">
      <w:pPr>
        <w:pStyle w:val="NormalnyWeb"/>
        <w:spacing w:before="0" w:beforeAutospacing="0" w:after="0" w:line="240" w:lineRule="auto"/>
        <w:rPr>
          <w:b/>
          <w:sz w:val="22"/>
          <w:szCs w:val="22"/>
        </w:rPr>
      </w:pPr>
    </w:p>
    <w:p w:rsidR="00E81141" w:rsidRDefault="00E81141" w:rsidP="00E81141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a) lekcje odbywają zgodnie z tygodniowym rozkładem zajęć</w:t>
      </w:r>
    </w:p>
    <w:p w:rsidR="00E81141" w:rsidRDefault="00E81141" w:rsidP="00E81141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b) zajęcia odbywają się za pomocą dostępnych narzędzi : dziennika elektronicznego: aplikacji Teams, poczty elektronicznej, dziennika elektronicznego </w:t>
      </w:r>
      <w:r>
        <w:t>oraz za pośrednictwem dostępnych komunikatorów internetowych .</w:t>
      </w:r>
    </w:p>
    <w:p w:rsidR="00E81141" w:rsidRDefault="00E81141" w:rsidP="00E81141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uczniowie, którzy nie mają dostępu do Internetu, realizują zajęcia w szkole.</w:t>
      </w: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color w:val="2D2D2D"/>
          <w:sz w:val="22"/>
          <w:szCs w:val="22"/>
        </w:rPr>
      </w:pPr>
      <w:r>
        <w:rPr>
          <w:sz w:val="22"/>
          <w:szCs w:val="22"/>
        </w:rPr>
        <w:t>d) wykonywanie zadań zleconych przez nauczyciela jest obowiązkowe. Tryb i termin ustala nauczyciel.</w:t>
      </w: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color w:val="2D2D2D"/>
          <w:sz w:val="22"/>
          <w:szCs w:val="22"/>
        </w:rPr>
      </w:pPr>
    </w:p>
    <w:p w:rsidR="00E81141" w:rsidRDefault="00E81141" w:rsidP="00E81141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Sposoby sprawdzania wiedzy:</w:t>
      </w: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1) bieżące prace pisemne (w formie kart pracy, dłuższych i krótkich odpowiedzi, analiz tekstów źródłowych); </w:t>
      </w: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2) odpowiedzi i aktywność podczas spotkań on-line;</w:t>
      </w: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3) testy i quizy on-line;</w:t>
      </w: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4) dzielenie się wiedzą poprzez przygotowane prezentowane materiały.</w:t>
      </w: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5)aktywność na zajęciach realizowanych z wykorzystaniem metod i technik kształcenia na odległość.</w:t>
      </w: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1 i 2</w:t>
      </w: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</w:pPr>
      <w:r>
        <w:t xml:space="preserve">Oceny są wpisywane do dziennika elektronicznego i są podstawą do klasyfikowania ucznia. </w:t>
      </w:r>
    </w:p>
    <w:p w:rsidR="00E81141" w:rsidRDefault="00E81141" w:rsidP="00E81141">
      <w:pPr>
        <w:pStyle w:val="gwp00936433msonormal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t>Poprawa oceny może nastąpić w formie i terminie ustalonym przez nauczyciela z uczniami, z uwzględnieniem specyfiki pracy i możliwości technicznych.</w:t>
      </w:r>
    </w:p>
    <w:p w:rsidR="00E81141" w:rsidRDefault="00E81141" w:rsidP="00E81141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81141" w:rsidRDefault="00E81141" w:rsidP="00E81141">
      <w:pPr>
        <w:pStyle w:val="NormalnyWeb"/>
        <w:spacing w:before="0" w:beforeAutospacing="0" w:after="0" w:line="240" w:lineRule="auto"/>
        <w:rPr>
          <w:b/>
          <w:sz w:val="20"/>
          <w:szCs w:val="20"/>
        </w:rPr>
      </w:pPr>
      <w:r>
        <w:rPr>
          <w:b/>
        </w:rPr>
        <w:sym w:font="Symbol" w:char="00B7"/>
      </w:r>
      <w:r>
        <w:rPr>
          <w:b/>
        </w:rPr>
        <w:t xml:space="preserve"> Uczeń ma możliwość poprawienia ocen otrzymanych za zadania wykonywane w czasie zdalnego nauczania w sposób i w terminie wskazanym przez nauczyciela, po uprzednim uzgodnieniu.</w:t>
      </w:r>
    </w:p>
    <w:p w:rsidR="00E81141" w:rsidRDefault="00E81141" w:rsidP="00E81141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E81141" w:rsidRDefault="00E81141" w:rsidP="00E81141">
      <w:pPr>
        <w:pStyle w:val="Standard"/>
        <w:jc w:val="both"/>
        <w:rPr>
          <w:b/>
          <w:sz w:val="20"/>
          <w:szCs w:val="20"/>
        </w:rPr>
      </w:pPr>
      <w:r>
        <w:t>Wobec nie uwzględnionych w aneksie form sprawdzania wiedzy oraz wagi ich ocen mają zastosowania zapisy PZO.</w:t>
      </w:r>
    </w:p>
    <w:p w:rsidR="00E81141" w:rsidRDefault="00E81141" w:rsidP="00E81141">
      <w:pPr>
        <w:pStyle w:val="NormalnyWeb"/>
        <w:spacing w:before="0" w:beforeAutospacing="0" w:after="0" w:line="240" w:lineRule="auto"/>
        <w:ind w:left="720"/>
        <w:rPr>
          <w:b/>
          <w:sz w:val="20"/>
          <w:szCs w:val="20"/>
        </w:rPr>
      </w:pPr>
    </w:p>
    <w:p w:rsidR="00FA3ABA" w:rsidRDefault="00FA3ABA" w:rsidP="00FA3AB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Historia- klasa 4 i 5</w:t>
      </w:r>
    </w:p>
    <w:p w:rsidR="00FA3ABA" w:rsidRDefault="00FA3ABA" w:rsidP="00FA3A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Wymagania na poszczególne oceny do programu nauczania „Poznać przeszłość” historii dla klasy 4 i 5 liceum ogólnokształcącego i technikum – zakres podstawowy</w:t>
      </w:r>
    </w:p>
    <w:p w:rsidR="00B82F11" w:rsidRPr="00337F04" w:rsidRDefault="00B82F11" w:rsidP="00B82F11">
      <w:pPr>
        <w:rPr>
          <w:rFonts w:ascii="Cambria" w:hAnsi="Cambria" w:cstheme="minorHAnsi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2124"/>
        <w:gridCol w:w="2414"/>
        <w:gridCol w:w="494"/>
        <w:gridCol w:w="2557"/>
        <w:gridCol w:w="351"/>
        <w:gridCol w:w="1984"/>
        <w:gridCol w:w="284"/>
        <w:gridCol w:w="1984"/>
        <w:gridCol w:w="425"/>
        <w:gridCol w:w="1701"/>
      </w:tblGrid>
      <w:tr w:rsidR="004C1223" w:rsidRPr="00337F04" w:rsidTr="000D54F9">
        <w:trPr>
          <w:trHeight w:val="258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Temat lekcji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Zagadnienia</w:t>
            </w:r>
          </w:p>
        </w:tc>
        <w:tc>
          <w:tcPr>
            <w:tcW w:w="12194" w:type="dxa"/>
            <w:gridSpan w:val="9"/>
            <w:shd w:val="clear" w:color="auto" w:fill="auto"/>
          </w:tcPr>
          <w:p w:rsidR="004C1223" w:rsidRPr="00337F04" w:rsidRDefault="004C1223" w:rsidP="004C1223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Wymagania </w:t>
            </w:r>
            <w:r>
              <w:rPr>
                <w:rFonts w:ascii="Cambria" w:eastAsia="Calibri" w:hAnsi="Cambria" w:cs="Arial"/>
                <w:b/>
                <w:bCs/>
                <w:color w:val="000000"/>
              </w:rPr>
              <w:t xml:space="preserve">na poszczególne oceny </w:t>
            </w:r>
          </w:p>
        </w:tc>
      </w:tr>
      <w:tr w:rsidR="007946A8" w:rsidRPr="00337F04" w:rsidTr="000D54F9">
        <w:trPr>
          <w:trHeight w:val="258"/>
        </w:trPr>
        <w:tc>
          <w:tcPr>
            <w:tcW w:w="1275" w:type="dxa"/>
            <w:vMerge/>
            <w:shd w:val="clear" w:color="auto" w:fill="auto"/>
            <w:vAlign w:val="center"/>
          </w:tcPr>
          <w:p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414" w:type="dxa"/>
            <w:shd w:val="clear" w:color="auto" w:fill="auto"/>
          </w:tcPr>
          <w:p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dopuszczająca</w:t>
            </w: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 Uczeń: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dostateczna</w:t>
            </w:r>
          </w:p>
          <w:p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dobra</w:t>
            </w:r>
          </w:p>
          <w:p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bardzo dobra</w:t>
            </w:r>
          </w:p>
          <w:p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701" w:type="dxa"/>
            <w:shd w:val="clear" w:color="auto" w:fill="auto"/>
          </w:tcPr>
          <w:p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celująca</w:t>
            </w:r>
          </w:p>
          <w:p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</w:tr>
      <w:tr w:rsidR="00B82F11" w:rsidRPr="00337F04" w:rsidTr="000D54F9">
        <w:trPr>
          <w:trHeight w:val="397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</w:p>
          <w:p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Rozdział I</w:t>
            </w:r>
          </w:p>
          <w:p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II wojna światowa</w:t>
            </w:r>
          </w:p>
          <w:p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</w:rPr>
            </w:pPr>
          </w:p>
        </w:tc>
      </w:tr>
      <w:tr w:rsidR="005113AE" w:rsidRPr="00337F04" w:rsidTr="000D54F9">
        <w:trPr>
          <w:trHeight w:val="2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</w:t>
            </w:r>
            <w:r w:rsidR="001A5D4B">
              <w:rPr>
                <w:rFonts w:ascii="Cambria" w:eastAsia="Calibri" w:hAnsi="Cambria" w:cs="Arial"/>
                <w:bCs/>
                <w:lang w:eastAsia="ar-SA"/>
              </w:rPr>
              <w:t>K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ampania polska</w:t>
            </w: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 przededniu wojny</w:t>
            </w:r>
          </w:p>
          <w:p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Niemiecka napaść na Polskę</w:t>
            </w:r>
          </w:p>
          <w:p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Blitzkriegowi</w:t>
            </w:r>
          </w:p>
          <w:p w:rsidR="009A3EAF" w:rsidRPr="00337F04" w:rsidRDefault="001A5D4B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N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apaść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</w:t>
            </w:r>
            <w:r w:rsidR="009A3EAF"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owiecka na Polskę</w:t>
            </w:r>
          </w:p>
          <w:p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Ostatnie punkty oporu</w:t>
            </w:r>
          </w:p>
          <w:p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Pierwsze zbrodnie hitlerowskie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Ocena wojny obronnej</w:t>
            </w:r>
          </w:p>
          <w:p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:rsidR="009A3EAF" w:rsidRPr="00337F04" w:rsidRDefault="009A3EAF" w:rsidP="001A5D4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59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  <w:lang w:eastAsia="pl-PL"/>
              </w:rPr>
            </w:pPr>
          </w:p>
          <w:p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Pr="00337F04">
              <w:rPr>
                <w:rFonts w:ascii="Cambria" w:hAnsi="Cambria" w:cs="Arial"/>
              </w:rPr>
              <w:t xml:space="preserve">stosuje pojęcia: </w:t>
            </w:r>
            <w:r w:rsidRPr="00337F04">
              <w:rPr>
                <w:rFonts w:ascii="Cambria" w:hAnsi="Cambria" w:cs="Arial"/>
                <w:i/>
              </w:rPr>
              <w:t xml:space="preserve">Blitzkrieg (wojna błyskawiczna), Schleswig-Holstein, </w:t>
            </w:r>
          </w:p>
          <w:p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 w:rsidR="00216745" w:rsidRPr="00337F04">
              <w:rPr>
                <w:rFonts w:ascii="Cambria" w:hAnsi="Cambria" w:cs="Arial"/>
                <w:spacing w:val="-2"/>
              </w:rPr>
              <w:t xml:space="preserve">charakteryzuje wkroczenie wojsk </w:t>
            </w:r>
            <w:r w:rsidR="00216745" w:rsidRPr="00337F04">
              <w:rPr>
                <w:rFonts w:ascii="Cambria" w:hAnsi="Cambria" w:cs="Arial"/>
                <w:spacing w:val="-2"/>
              </w:rPr>
              <w:lastRenderedPageBreak/>
              <w:t>sowieckich na terytorium Polski w kontekście paktu Ribbentrop–Mołotow oraz przykłady współpracy niemiecko-sowieckiej</w:t>
            </w:r>
            <w:r>
              <w:rPr>
                <w:rFonts w:ascii="Cambria" w:hAnsi="Cambria" w:cs="Arial"/>
              </w:rPr>
              <w:br/>
            </w:r>
            <w:r w:rsidR="009A3EAF" w:rsidRPr="00337F04">
              <w:rPr>
                <w:rFonts w:ascii="Cambria" w:hAnsi="Cambria" w:cs="Arial"/>
              </w:rPr>
              <w:t xml:space="preserve">– omawia działalność postaci: Adolfa Hitlera, Józefa Stalina, </w:t>
            </w:r>
          </w:p>
          <w:p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 września 1939 r., 17 września 1939 r., 6 października 1939 r.</w:t>
            </w:r>
          </w:p>
        </w:tc>
        <w:tc>
          <w:tcPr>
            <w:tcW w:w="3051" w:type="dxa"/>
            <w:gridSpan w:val="2"/>
          </w:tcPr>
          <w:p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  <w:spacing w:val="-2"/>
              </w:rPr>
              <w:lastRenderedPageBreak/>
              <w:t xml:space="preserve">– </w:t>
            </w:r>
            <w:r w:rsidR="00216745">
              <w:rPr>
                <w:rFonts w:ascii="Cambria" w:hAnsi="Cambria" w:cs="Arial"/>
                <w:spacing w:val="-2"/>
              </w:rPr>
              <w:t>stosuje pojęcia:</w:t>
            </w:r>
            <w:r w:rsidR="00216745" w:rsidRPr="00337F04">
              <w:rPr>
                <w:rFonts w:ascii="Cambria" w:hAnsi="Cambria" w:cs="Arial"/>
                <w:i/>
              </w:rPr>
              <w:t xml:space="preserve"> bitwa graniczna, dziwna wojna, „polskie Termopile”</w:t>
            </w:r>
          </w:p>
          <w:p w:rsidR="00372F15" w:rsidRPr="00337F04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porównuje potencjał militarny stron konfliktu</w:t>
            </w:r>
          </w:p>
          <w:p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</w:t>
            </w:r>
            <w:r w:rsidR="00216745">
              <w:rPr>
                <w:rFonts w:ascii="Cambria" w:hAnsi="Cambria" w:cs="Arial"/>
              </w:rPr>
              <w:t xml:space="preserve">omawia działalność postaci: </w:t>
            </w:r>
            <w:r w:rsidR="00216745">
              <w:rPr>
                <w:rFonts w:ascii="Cambria" w:hAnsi="Cambria" w:cs="Arial"/>
              </w:rPr>
              <w:lastRenderedPageBreak/>
              <w:t xml:space="preserve">Ignacego </w:t>
            </w:r>
            <w:r w:rsidR="00216745" w:rsidRPr="00337F04">
              <w:rPr>
                <w:rFonts w:ascii="Cambria" w:hAnsi="Cambria" w:cs="Arial"/>
              </w:rPr>
              <w:t>Mościckiego, Edwarda Rydza-Śmigłego, Stefana Starzyńskiego</w:t>
            </w:r>
          </w:p>
          <w:p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omawia decyzje polityczne władz II Rzeczypospolitej na tle wydarzeń militarnych podczas kampanii polskiej</w:t>
            </w:r>
          </w:p>
          <w:p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przykłady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bohaterstwa polskich żołnierzy, w tym: Westerplatte, Poczty Polskiej, Mokrej, Wizny, bitwy nad Bzurą, Warszawy, Kocka, i wskazuje te miejsca na mapie</w:t>
            </w:r>
          </w:p>
          <w:p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335" w:type="dxa"/>
            <w:gridSpan w:val="2"/>
          </w:tcPr>
          <w:p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  <w:i/>
              </w:rPr>
            </w:pPr>
            <w:r w:rsidRPr="00337F04">
              <w:rPr>
                <w:rFonts w:ascii="Cambria" w:hAnsi="Cambria" w:cs="Arial"/>
              </w:rPr>
              <w:lastRenderedPageBreak/>
              <w:t xml:space="preserve">– stosuje pojęcia: </w:t>
            </w:r>
            <w:r w:rsidRPr="00337F04">
              <w:rPr>
                <w:rFonts w:ascii="Cambria" w:hAnsi="Cambria" w:cs="Arial"/>
                <w:i/>
              </w:rPr>
              <w:t>prowokacja gliwicka, „Fall Weiss”, Luftwaffe, Einsatzgruppen (Grupy Specjalne), przedmoście rumuńskie</w:t>
            </w:r>
          </w:p>
          <w:p w:rsidR="00372F15" w:rsidRDefault="0021674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lastRenderedPageBreak/>
              <w:t>– wymienia wydarzenia związane z datami: 1–3 września 1939 r., 3 września 1939 r</w:t>
            </w:r>
            <w:r w:rsidR="00704273">
              <w:rPr>
                <w:rFonts w:ascii="Cambria" w:hAnsi="Cambria" w:cs="Arial"/>
              </w:rPr>
              <w:t>.</w:t>
            </w:r>
          </w:p>
          <w:p w:rsidR="00372F15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główne etapy kampanii polskiej </w:t>
            </w:r>
          </w:p>
          <w:p w:rsidR="007946A8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omawia działalność postaci: Henryka Sucharskiego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i Franciszka Dąbrowskiego,</w:t>
            </w:r>
          </w:p>
          <w:p w:rsidR="007946A8" w:rsidRPr="00337F04" w:rsidRDefault="007946A8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>– wyjaśnia przyczyny przegranej Polski w wojnie we wrześniu 1939 r.</w:t>
            </w:r>
          </w:p>
          <w:p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693" w:type="dxa"/>
            <w:gridSpan w:val="3"/>
          </w:tcPr>
          <w:p w:rsidR="009A3EAF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lastRenderedPageBreak/>
              <w:t>– przedstawia polityczne i militarne założenia planu obrony Polski w 1939 r.</w:t>
            </w:r>
            <w:r w:rsidR="00216745" w:rsidRPr="00337F04">
              <w:rPr>
                <w:rFonts w:ascii="Cambria" w:hAnsi="Cambria" w:cs="Arial"/>
              </w:rPr>
              <w:t xml:space="preserve"> ., </w:t>
            </w:r>
            <w:r w:rsidR="00216745">
              <w:rPr>
                <w:rFonts w:ascii="Cambria" w:hAnsi="Cambria" w:cs="Arial"/>
              </w:rPr>
              <w:t>omawia wydarzenia związane z datami</w:t>
            </w:r>
            <w:r w:rsidR="00704273">
              <w:rPr>
                <w:rFonts w:ascii="Cambria" w:hAnsi="Cambria" w:cs="Arial"/>
              </w:rPr>
              <w:t>: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9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lastRenderedPageBreak/>
              <w:t xml:space="preserve">12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28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2 października 1939 r.</w:t>
            </w:r>
          </w:p>
          <w:p w:rsidR="00216745" w:rsidRPr="00337F04" w:rsidRDefault="00216745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216745">
              <w:rPr>
                <w:rFonts w:ascii="Cambria" w:hAnsi="Cambria" w:cs="Arial"/>
              </w:rPr>
              <w:t>– omawia działalność postaci:Tadeusza Kutrzeby, Władysława Bortnowskiego, Władysława Raginisa, Władysława Langnera, Józefa Unruga,</w:t>
            </w:r>
            <w:r w:rsidR="00372F15">
              <w:rPr>
                <w:rFonts w:ascii="Cambria" w:hAnsi="Cambria" w:cs="Arial"/>
              </w:rPr>
              <w:t xml:space="preserve"> Stanisława Dąbka</w:t>
            </w:r>
          </w:p>
        </w:tc>
        <w:tc>
          <w:tcPr>
            <w:tcW w:w="1701" w:type="dxa"/>
          </w:tcPr>
          <w:p w:rsidR="007946A8" w:rsidRDefault="009A3EAF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lastRenderedPageBreak/>
              <w:t xml:space="preserve">– prezentuje założenia polityki Wielkiej Brytanii </w:t>
            </w:r>
            <w:r w:rsidRPr="00337F04">
              <w:rPr>
                <w:rFonts w:ascii="Cambria" w:hAnsi="Cambria" w:cs="Arial"/>
              </w:rPr>
              <w:br/>
              <w:t xml:space="preserve">i Francji wobec konfliktu </w:t>
            </w:r>
            <w:r w:rsidRPr="00337F04">
              <w:rPr>
                <w:rFonts w:ascii="Cambria" w:hAnsi="Cambria" w:cs="Arial"/>
              </w:rPr>
              <w:lastRenderedPageBreak/>
              <w:t>polsko-niemieckiego</w:t>
            </w:r>
          </w:p>
          <w:p w:rsidR="009A3EAF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>– podaje przykłady zbrodni wojennych dokonanych przez agresorów, m.in. w Wieluniu, Bydgoszczy, okolicach Wejherowa</w:t>
            </w:r>
          </w:p>
        </w:tc>
      </w:tr>
      <w:tr w:rsidR="007946A8" w:rsidRPr="00337F04" w:rsidTr="000D54F9">
        <w:trPr>
          <w:trHeight w:val="132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1" w:name="_Hlk107529290"/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 xml:space="preserve">2. Hitler </w:t>
            </w:r>
            <w:r w:rsidR="00704273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i Stalin dzielą Europę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Współpraca ZSRS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III Rzeszy</w:t>
            </w:r>
          </w:p>
          <w:p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Sowieckie podboje</w:t>
            </w:r>
          </w:p>
          <w:p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Podbój Danii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Norwegii przez Niemcy</w:t>
            </w:r>
          </w:p>
          <w:p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Podbój Belgii, Holandii i Francji</w:t>
            </w:r>
          </w:p>
          <w:p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Wielkiej Brytanii</w:t>
            </w:r>
          </w:p>
          <w:p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Bałkanach</w:t>
            </w:r>
          </w:p>
          <w:p w:rsidR="007946A8" w:rsidRPr="00337F04" w:rsidRDefault="007946A8" w:rsidP="001A5D4B">
            <w:pPr>
              <w:tabs>
                <w:tab w:val="num" w:pos="360"/>
              </w:tabs>
              <w:suppressAutoHyphens/>
              <w:spacing w:after="0" w:line="240" w:lineRule="auto"/>
              <w:ind w:left="227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:rsidR="00A43EA0" w:rsidRPr="00A43EA0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 xml:space="preserve">– stosuje pojęcia: pakt Ribbentrop–Mołotow, kolaboracja, bitwa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A43EA0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Józefa Stalina, Adolfa Hitlera</w:t>
            </w:r>
          </w:p>
          <w:p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wymienia sojuszników III Rzeszy, którzy przystąpili do współpracy w latach 1939–1941</w:t>
            </w:r>
          </w:p>
          <w:p w:rsidR="007946A8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wyjaśnia znaczenie zwycięstwa Wielkiej Brytanii i jej sojuszników w bitwie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</w:tc>
        <w:tc>
          <w:tcPr>
            <w:tcW w:w="3051" w:type="dxa"/>
            <w:gridSpan w:val="2"/>
          </w:tcPr>
          <w:p w:rsidR="00A43EA0" w:rsidRPr="00A43EA0" w:rsidRDefault="00704273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lastRenderedPageBreak/>
              <w:t>–</w:t>
            </w:r>
            <w:r w:rsidR="00A43EA0" w:rsidRPr="00A43EA0">
              <w:rPr>
                <w:rFonts w:ascii="Cambria" w:eastAsia="DejaVu Sans" w:hAnsi="Cambria" w:cs="Arial"/>
                <w:lang w:eastAsia="pl-PL" w:bidi="pl-PL"/>
              </w:rPr>
              <w:t xml:space="preserve">stosuje pojęcia: wojna zimowa, republiki bałtyckie, </w:t>
            </w:r>
            <w:r w:rsidR="00DC4177" w:rsidRPr="00A43EA0">
              <w:rPr>
                <w:rFonts w:ascii="Cambria" w:eastAsia="Calibri" w:hAnsi="Cambria" w:cs="Arial"/>
                <w:bCs/>
                <w:color w:val="000000"/>
              </w:rPr>
              <w:t>państwo Vichy, Komitet Wolnej Francji, RAF</w:t>
            </w:r>
          </w:p>
          <w:p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Benita Mussoliniego, Winstona Churchilla</w:t>
            </w:r>
          </w:p>
          <w:p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charakteryzuje cele polityki Hitlera i Stalina w Europie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w latach 1939–1941 oraz przykłady ich współpracy</w:t>
            </w:r>
          </w:p>
          <w:p w:rsidR="00704273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wskazuje na mapie: kierunki agresji sowieckiej, niemieckiej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i włoskiej oraz obszary okupowane przez agresoró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t>w</w:t>
            </w:r>
          </w:p>
          <w:p w:rsidR="00DC4177" w:rsidRPr="00DC4177" w:rsidRDefault="00704273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 xml:space="preserve"> omawia wydarzenia związane </w:t>
            </w:r>
            <w:r>
              <w:rPr>
                <w:rFonts w:ascii="Cambria" w:eastAsia="DejaVu Sans" w:hAnsi="Cambria" w:cs="Arial"/>
                <w:lang w:eastAsia="pl-PL" w:bidi="pl-PL"/>
              </w:rPr>
              <w:br/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>z agresją sowiecką i niemiecką z: listopada 1939 r. marca 1940 r., maja 1940 r., lipca–</w:t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lastRenderedPageBreak/>
              <w:t>października 1940 r.</w:t>
            </w:r>
          </w:p>
          <w:p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przedstawia główne przyczyny klęski Francji w 1940 r.</w:t>
            </w:r>
          </w:p>
          <w:p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:rsidR="007946A8" w:rsidRPr="00337F04" w:rsidRDefault="007946A8" w:rsidP="00794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:rsidR="005113AE" w:rsidRPr="00337F04" w:rsidRDefault="005113AE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335" w:type="dxa"/>
            <w:gridSpan w:val="2"/>
          </w:tcPr>
          <w:p w:rsidR="00A43EA0" w:rsidRDefault="00A43EA0" w:rsidP="00A43E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stosuje pojęcia: „Fall Gelb”, operacja „Lew morski”, linia Mannerheima, Linia Maginota</w:t>
            </w:r>
          </w:p>
          <w:p w:rsidR="00DC4177" w:rsidRPr="00DC4177" w:rsidRDefault="00A43EA0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>– omawia działalność postaci: Charles’a de Gaulle’a</w:t>
            </w:r>
            <w:r w:rsidR="000E6D4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Philippe’aPétaina, Josipa Broza-Tito,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Carla GustafaMannerheima, Vidkuna Quislinga, Hermanna Göringa, AntePavelicia, LéonaDegrelle</w:t>
            </w:r>
          </w:p>
          <w:p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wydarzenia związane z datami: </w:t>
            </w:r>
          </w:p>
          <w:p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12 marca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9 kwietnia 1940 r., </w:t>
            </w:r>
          </w:p>
          <w:p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10 maja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22 czerwca 1940 r., </w:t>
            </w:r>
          </w:p>
          <w:p w:rsidR="00DC4177" w:rsidRPr="00337F04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>28 października 1940 r., 6 kwietnia 1941 r.–1 czerwca 1941 r., 10 kwietnia 1941 r.</w:t>
            </w:r>
          </w:p>
        </w:tc>
        <w:tc>
          <w:tcPr>
            <w:tcW w:w="2693" w:type="dxa"/>
            <w:gridSpan w:val="3"/>
          </w:tcPr>
          <w:p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Josipa Broza-Tito, AntePavelicia, LéonaDegrelle– szczegółowo opisuje kolejne etapy agresji Niemiec w latach 1940–1941, wskazując zmiany na mapie politycznej </w:t>
            </w:r>
          </w:p>
          <w:p w:rsidR="007946A8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opisuje przebieg bitwy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o Anglię, uwzględniając uzbrojenie obu stron konfliktu oraz sytuację ludności cywilnej Wielkiej Brytanii</w:t>
            </w:r>
          </w:p>
          <w:p w:rsidR="005113AE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>– wyjaśnia znaczenie zawarcia zawieszenia broniw Compiègne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czerwcu 1940 r</w:t>
            </w:r>
          </w:p>
          <w:p w:rsidR="00DC4177" w:rsidRPr="00337F04" w:rsidRDefault="00DC4177" w:rsidP="000E6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sposób przejęcia kontroli nad republikami bałtyckimi przez ZSRS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1940 r.</w:t>
            </w:r>
          </w:p>
          <w:p w:rsidR="005113AE" w:rsidRPr="00DC4177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>c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harakteryzuje sytuację na Bałkanach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1941 r.</w:t>
            </w:r>
          </w:p>
          <w:p w:rsidR="007946A8" w:rsidRPr="00337F04" w:rsidRDefault="007946A8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0941B4" w:rsidRPr="00337F04" w:rsidTr="000D54F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0941B4" w:rsidRPr="00337F04" w:rsidRDefault="000941B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2" w:name="_Hlk107531329"/>
            <w:bookmarkEnd w:id="1"/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Wojna na froncie wschodnim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Napaść Niemiec na ZSRS</w:t>
            </w:r>
          </w:p>
          <w:p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pod Moskwą</w:t>
            </w:r>
          </w:p>
          <w:p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Niemcy i podbita ludność</w:t>
            </w:r>
          </w:p>
          <w:p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Wspólnie przeciw Hitlerowi</w:t>
            </w:r>
          </w:p>
          <w:p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o Stalingrad</w:t>
            </w:r>
          </w:p>
          <w:p w:rsidR="000941B4" w:rsidRPr="00337F04" w:rsidRDefault="000941B4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4" w:rsidRPr="005113AE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stosuje pojęcia: plan „Barbarossa”, wielka wojna ojczyźniana, Lend-LeaseAct, koalicja antyhitlerowska</w:t>
            </w:r>
          </w:p>
          <w:p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omawia działalność postaci: Adolfa Hitlera, Józefa Stalina, Gieorgija Żukowa</w:t>
            </w:r>
          </w:p>
          <w:p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charakteryzuje przyczyny nawiązania współpracy Wielkiej Brytanii i ZSRS oraz USA</w:t>
            </w:r>
          </w:p>
          <w:p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omawia stosunek ludności do okupanta na zajmowanych terenach przez Niemców, </w:t>
            </w:r>
          </w:p>
          <w:p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przedstawia politykę III Rzeszy wobec ludności cywilnej ZSRS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wobec jeńców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stosuje pojęcia: Lend-LeaseAct,</w:t>
            </w:r>
          </w:p>
          <w:p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wymienia wydarzenia związane z datami:, marzec 1941 r.,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22 czerwca 1941 r., 12 lipca 1941 r., luty 1943 r., lipiec 1943 r.</w:t>
            </w:r>
          </w:p>
          <w:p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opisuje przebieg wojny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analizuje przyczyny klęski niemieckiego Blitzkriegu w ZSRS</w:t>
            </w:r>
          </w:p>
          <w:p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wskazuje na mapie przełomowe bitwy wojny na froncie wschodnim: Leningrad, Moskwa, Stalingrad,</w:t>
            </w:r>
          </w:p>
          <w:p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ocenia znaczenie pomocy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w ramach Lend-LeaseAct dla wyniku wojny na froncie wschodnim</w:t>
            </w:r>
          </w:p>
          <w:p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0941B4">
              <w:rPr>
                <w:rFonts w:ascii="Cambria" w:hAnsi="Cambria" w:cs="Arial"/>
              </w:rPr>
              <w:t>podaje przykłady podjęcia współpracy z Niemcami i wyjaśnia ich przyczyny</w:t>
            </w:r>
          </w:p>
          <w:p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stosuje pojęcia: Lebensraum (‘przestrzeń życiowa’), blokada Leningradu, „droga życia”</w:t>
            </w:r>
          </w:p>
          <w:p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działalność postaci: Friedricha von Paulusa, Stepana Bandery</w:t>
            </w:r>
          </w:p>
          <w:p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6 grudnia 1941 r., listopad 1942 r., wrzesień 1941 r. styczeń 1944 r.</w:t>
            </w:r>
          </w:p>
          <w:p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znaczenie klęski stalingradzkiej dla Niemiec</w:t>
            </w:r>
          </w:p>
          <w:p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opisuje potencjał wojenny stron konfliktu, ich taktykę oraz uzbrojenie</w:t>
            </w:r>
          </w:p>
        </w:tc>
      </w:tr>
      <w:bookmarkEnd w:id="2"/>
      <w:tr w:rsidR="00351889" w:rsidRPr="00337F04" w:rsidTr="000D54F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4. Polityka </w:t>
            </w:r>
          </w:p>
          <w:p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Niemiec w okupowanej Europie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ludności okupowanych krajów</w:t>
            </w:r>
          </w:p>
          <w:p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Postawy ludności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władz krajów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okupowanych</w:t>
            </w:r>
          </w:p>
          <w:p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Ruch oporu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partyzantka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krajach europejskich</w:t>
            </w:r>
          </w:p>
          <w:p w:rsidR="00351889" w:rsidRPr="00337F04" w:rsidRDefault="0035188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 polityka rasowa, ruch oporu, podludzie, nadludzie, partyzantka </w:t>
            </w:r>
          </w:p>
          <w:p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– omawia działalność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postaci: Adolfa Hitlera</w:t>
            </w:r>
          </w:p>
          <w:p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– wymienia kraje,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w których powstały rządy kolaborujące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>z Niemcami, oraz kraje, gdzie rozwinął się ruch oporu</w:t>
            </w:r>
          </w:p>
        </w:tc>
        <w:tc>
          <w:tcPr>
            <w:tcW w:w="3051" w:type="dxa"/>
            <w:gridSpan w:val="2"/>
          </w:tcPr>
          <w:p w:rsid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pakt trzech, polityka rasowa, przestrzeń życiowa, Generalny Plan Wschodni, ruch oporu, podludzie, nadludzie,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partyzantka</w:t>
            </w:r>
          </w:p>
          <w:p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postaci:Charles’a de Gaulle’a, Philipe’aPétaina</w:t>
            </w:r>
          </w:p>
        </w:tc>
        <w:tc>
          <w:tcPr>
            <w:tcW w:w="2335" w:type="dxa"/>
            <w:gridSpan w:val="2"/>
          </w:tcPr>
          <w:p w:rsidR="00515E2D" w:rsidRPr="00351889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lastRenderedPageBreak/>
              <w:t>– charakteryzuje zróżnicowanie polityki niemieckiej na terenach okupowanych</w:t>
            </w:r>
          </w:p>
          <w:p w:rsidR="00351889" w:rsidRPr="00337F04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postawy ludności okupowanej Europy</w:t>
            </w:r>
          </w:p>
        </w:tc>
        <w:tc>
          <w:tcPr>
            <w:tcW w:w="2693" w:type="dxa"/>
            <w:gridSpan w:val="3"/>
          </w:tcPr>
          <w:p w:rsidR="00351889" w:rsidRPr="00351889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lastRenderedPageBreak/>
              <w:t>–</w:t>
            </w:r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stosuje pojęcia: Résistance, RoteKapelle, polityka „piernika i pejcza”</w:t>
            </w:r>
          </w:p>
          <w:p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351889" w:rsidRPr="00337F04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porównuje sytuację w okupowanych przez Niemców krajach </w:t>
            </w:r>
            <w:r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zachodnich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  <w:t xml:space="preserve">i w Polsce </w:t>
            </w:r>
          </w:p>
        </w:tc>
      </w:tr>
      <w:tr w:rsidR="000170E3" w:rsidRPr="00337F04" w:rsidTr="000D54F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0170E3" w:rsidRPr="00337F04" w:rsidRDefault="000170E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3" w:name="_Hlk107532150"/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5. Holokaust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Separacja ludności żydowskiej</w:t>
            </w:r>
          </w:p>
          <w:p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stronę zagłady</w:t>
            </w:r>
          </w:p>
          <w:p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Zagłada Żydów</w:t>
            </w:r>
          </w:p>
          <w:p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Powstanie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getcie</w:t>
            </w:r>
          </w:p>
          <w:p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Postawy wobec Holokaustu</w:t>
            </w:r>
          </w:p>
          <w:p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 gwiazda Dawida, getto</w:t>
            </w:r>
          </w:p>
          <w:p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przedstawia założenia i metody polityki hitlerowskiej wobec Żydów oraz etapy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i metody jej realizacji (od dyskryminacji do zagłady)</w:t>
            </w:r>
          </w:p>
          <w:p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sposób organizacji i cel działania sieci obozów koncentracyjnych oraz obozów zagłady, wyjaśnia różnice pomiędzy nimi, rozpoznaje główne miejsca eksterminacji (Auschwitz-Birkenau, Sobibór, Treblinka, Bełżec)</w:t>
            </w:r>
          </w:p>
          <w:p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051" w:type="dxa"/>
            <w:gridSpan w:val="2"/>
          </w:tcPr>
          <w:p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pojęcia:Żydowska Organizacja Bojowa, medal „Sprawiedliwy wśród Narodów Świata”</w:t>
            </w:r>
          </w:p>
          <w:p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działalność postaci: Adolfa Eichmanna, Heinricha Himmlera, Reinharda Heydricha, Mordechaja Anielewicza, Marka Edelmana, Jana Karskiego, Witolda Pileckiego, Janusza Korczaka, rodziny Ulmów, Ireny Sendlerowej</w:t>
            </w:r>
          </w:p>
          <w:p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bilans Holokaustu</w:t>
            </w:r>
          </w:p>
          <w:p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formy pomocy Żydom niesione przez ludność krajów okupowanych</w:t>
            </w:r>
          </w:p>
          <w:p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335" w:type="dxa"/>
            <w:gridSpan w:val="2"/>
          </w:tcPr>
          <w:p w:rsidR="000170E3" w:rsidRP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stosuje pojęcia: Szoah, „Żegota”, Żydowski Związek Wojskowy, Endlösung (‘ostateczne rozwiązanie kwestii żydowskiej’)</w:t>
            </w:r>
          </w:p>
          <w:p w:rsid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omawia działalność postaci: Juliusza Grobelnego, Władysława Bartoszewskiego,</w:t>
            </w:r>
          </w:p>
          <w:p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wymienia miejsca eksterminacji: Chełmno nad Nerem, Babi Jar, Jedwabne, Ponary</w:t>
            </w:r>
          </w:p>
        </w:tc>
        <w:tc>
          <w:tcPr>
            <w:tcW w:w="2693" w:type="dxa"/>
            <w:gridSpan w:val="3"/>
          </w:tcPr>
          <w:p w:rsidR="000170E3" w:rsidRPr="000170E3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Juliusza Grobelnego, Władysława Bartoszewskiego, Zofii Kossak-Szczuckiej, Wandy Krahelskiej, Matyldy Getter, Adama Sapiehy, Jana i Antoniny Żabińskich, Jurgena Stroppa</w:t>
            </w:r>
          </w:p>
          <w:p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wymienia miejsca eksterminacji: Chełmno nad Nerem, Babi Jar, Jedwabne, Ponary</w:t>
            </w:r>
          </w:p>
        </w:tc>
        <w:tc>
          <w:tcPr>
            <w:tcW w:w="1701" w:type="dxa"/>
          </w:tcPr>
          <w:p w:rsidR="000170E3" w:rsidRPr="00337F04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Wandy Krahelskiej, Matyldy Getter, Adama Sapiehy</w:t>
            </w:r>
          </w:p>
        </w:tc>
      </w:tr>
      <w:tr w:rsidR="00B40C3E" w:rsidRPr="00337F04" w:rsidTr="000D54F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B40C3E" w:rsidRPr="00337F04" w:rsidRDefault="00B40C3E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4" w:name="_Hlk107532619"/>
            <w:bookmarkEnd w:id="3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Wojna poza Europą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Początek walk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w Afryce</w:t>
            </w:r>
          </w:p>
          <w:p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morzach i oceanach</w:t>
            </w:r>
          </w:p>
          <w:p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Atak na Pearl Harbor</w:t>
            </w:r>
          </w:p>
          <w:p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japońska w Azji</w:t>
            </w:r>
          </w:p>
          <w:p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Pacyfiku</w:t>
            </w:r>
          </w:p>
        </w:tc>
        <w:tc>
          <w:tcPr>
            <w:tcW w:w="2414" w:type="dxa"/>
          </w:tcPr>
          <w:p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wojna na Pacyfiku, U-Boot, Pearl Harbor, lotniskowiec</w:t>
            </w:r>
          </w:p>
          <w:p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Benita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Mussoliniego, Adolfa Hitlera</w:t>
            </w:r>
          </w:p>
          <w:p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wskazuje na przyczyny zwycięstwa aliantów</w:t>
            </w:r>
          </w:p>
          <w:p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051" w:type="dxa"/>
            <w:gridSpan w:val="2"/>
          </w:tcPr>
          <w:p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</w:t>
            </w:r>
            <w:r>
              <w:rPr>
                <w:rFonts w:ascii="Cambria" w:eastAsia="Times" w:hAnsi="Cambria" w:cs="Arial"/>
                <w:bCs/>
                <w:color w:val="000000"/>
              </w:rPr>
              <w:t>: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 wilcze stada, U-Boot, Pearl Harbor</w:t>
            </w:r>
          </w:p>
          <w:p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działalność postaci: Franklina Delano Roosevelta</w:t>
            </w:r>
          </w:p>
          <w:p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7 grudnia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1941 r., 4–7 czerwca 1942 r., październik–listopad 1942 r.</w:t>
            </w:r>
          </w:p>
          <w:p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wymienia cele strategiczne państw Osi w walkach poza Europą</w:t>
            </w:r>
          </w:p>
          <w:p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przebieg wojny w Afryce w latach 1941–43, wskazuje na przyczyny zwycięstwa aliantów</w:t>
            </w:r>
          </w:p>
          <w:p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335" w:type="dxa"/>
            <w:gridSpan w:val="2"/>
          </w:tcPr>
          <w:p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„Torch”, Kriegsmarine, U-Boot, RoyalNavy</w:t>
            </w:r>
          </w:p>
          <w:p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</w:t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datami: </w:t>
            </w:r>
          </w:p>
          <w:p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szczegółowo omawia przebieg walk w Afryce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t>i Azji</w:t>
            </w:r>
          </w:p>
          <w:p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przedstawia specyfikę wojny na Pacyfiku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i wymienia przełomowe starcia zbrojne na tym obszarze podczas II wojny światowej</w:t>
            </w:r>
          </w:p>
        </w:tc>
        <w:tc>
          <w:tcPr>
            <w:tcW w:w="2693" w:type="dxa"/>
            <w:gridSpan w:val="3"/>
          </w:tcPr>
          <w:p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„Torch”, operacja, Kriegsmarine, U-Boot, RoyalNavy</w:t>
            </w:r>
          </w:p>
          <w:p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Bernarda </w:t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Montgomery’ego, Erwina Rommla, Karla Dönitza, Isoroku Yamamoto</w:t>
            </w:r>
          </w:p>
          <w:p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>– wymienia wydarzenia związane z datami: 13 września 1940 r., grudzień 1940 r., listopad 1941 r., sierpień 1942 r., luty 1943 r., październik–listopad 1942 r., 13 maja 1943 r.</w:t>
            </w:r>
          </w:p>
          <w:p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opisuje uzbrojenie stron konfliktu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t xml:space="preserve"> i ocenia ich potencjał militarny</w:t>
            </w:r>
          </w:p>
        </w:tc>
      </w:tr>
      <w:bookmarkEnd w:id="4"/>
      <w:tr w:rsidR="00716DBB" w:rsidRPr="00337F04" w:rsidTr="000D54F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716DBB" w:rsidRPr="00337F04" w:rsidRDefault="00716DB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7. Droga do zwycięstwa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Wielkiej Koalicji</w:t>
            </w:r>
          </w:p>
          <w:p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na Łuku Kurskim</w:t>
            </w:r>
          </w:p>
          <w:p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Desant na Sycylię i Włochy</w:t>
            </w:r>
          </w:p>
          <w:p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Konferencje Wielkiej Trójki</w:t>
            </w:r>
          </w:p>
          <w:p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Lądowanie w Normandii i otwarcie drugiego frontu</w:t>
            </w:r>
          </w:p>
        </w:tc>
        <w:tc>
          <w:tcPr>
            <w:tcW w:w="2414" w:type="dxa"/>
          </w:tcPr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Wielka Koalicja</w:t>
            </w:r>
          </w:p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Józefa Stalina, Franklina Delano Roosevelta, Winstona Churchilla</w:t>
            </w:r>
          </w:p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– przedstawia znaczenie wydarzeń: bitwy na Łuku Kurskimoraz powstania drugiego frontu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Normandii</w:t>
            </w:r>
          </w:p>
          <w:p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051" w:type="dxa"/>
            <w:gridSpan w:val="2"/>
          </w:tcPr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D-Day, Wielka Koalicja</w:t>
            </w:r>
          </w:p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Dwighta Eisenhowera</w:t>
            </w:r>
          </w:p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wymienia wydarzenia związane z datami: 14 sierpnia 1941 r., 28 listopada–1 grudnia 1943 r., 4–11 lutego 1945 r., 6 czerwca 1944 r.</w:t>
            </w:r>
          </w:p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wyjaśnia genezę powstania Wielkiej Koalicji oraz omawia znaczenie zasad sformułowanych w Karcie atlantyckiej</w:t>
            </w:r>
          </w:p>
          <w:p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kapitulacji Włoch, bitwy o Monte Cassino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– omawia znaczenie konferencji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Teheranie</w:t>
            </w:r>
          </w:p>
        </w:tc>
        <w:tc>
          <w:tcPr>
            <w:tcW w:w="2335" w:type="dxa"/>
            <w:gridSpan w:val="2"/>
          </w:tcPr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stosuje pojęcia: operacja „Overlord”, operacja „Market Garden”, </w:t>
            </w:r>
          </w:p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podaje główne założenia polityki zagranicznej wielkich mocarstw w czasie II wojny światowej</w:t>
            </w:r>
          </w:p>
          <w:p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„Cytadela”, Włoska Republika Socjalna</w:t>
            </w:r>
          </w:p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omawia działalność postaci: George’a Pattona, Douglasa MacArthura, Pietra Badoglio</w:t>
            </w:r>
          </w:p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14 stycznia 1943 r., 10 lipca 1943 r., 19 sierpnia 1943 r., 8 września 1943 r., 23/24 czerwca 1944 r., październik 1944 r.</w:t>
            </w:r>
          </w:p>
          <w:p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716DBB" w:rsidRPr="00337F04" w:rsidRDefault="00D12944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opisuje strategię oraz uzbrojenie stron konfliktu</w:t>
            </w:r>
          </w:p>
        </w:tc>
      </w:tr>
      <w:tr w:rsidR="00E95E60" w:rsidRPr="00337F04" w:rsidTr="000D54F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95E60" w:rsidRPr="00337F04" w:rsidRDefault="00E95E6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8. Koniec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Wyzwolenie Europy Środkowo-Wschodniej</w:t>
            </w:r>
          </w:p>
          <w:p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Jałcie</w:t>
            </w:r>
          </w:p>
          <w:p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Zajęcie Niemiec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Austrii</w:t>
            </w:r>
          </w:p>
          <w:p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Poczdamie</w:t>
            </w:r>
          </w:p>
          <w:p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na Pacyfiku</w:t>
            </w:r>
          </w:p>
        </w:tc>
        <w:tc>
          <w:tcPr>
            <w:tcW w:w="2414" w:type="dxa"/>
          </w:tcPr>
          <w:p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atak atomowy</w:t>
            </w:r>
          </w:p>
          <w:p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Józefa Stalina, Franklina Delano Roosevelta, Winstona Churchilla, </w:t>
            </w:r>
          </w:p>
          <w:p w:rsidR="0043337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wymienia wydarzenia związane z datami:</w:t>
            </w:r>
          </w:p>
          <w:p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8 maja 1945 r. 6 i 9 sierpnia 1945 r.</w:t>
            </w:r>
          </w:p>
          <w:p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i skutki wynalezienia oraz pierwszego użycia broni atomowej </w:t>
            </w:r>
          </w:p>
          <w:p w:rsidR="00E95E60" w:rsidRPr="00337F04" w:rsidRDefault="00E95E60" w:rsidP="0043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051" w:type="dxa"/>
            <w:gridSpan w:val="2"/>
          </w:tcPr>
          <w:p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naloty dywanowe, taktyka „żabich skoków”, atak atomowy</w:t>
            </w:r>
          </w:p>
          <w:p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Clementa Attlee</w:t>
            </w:r>
          </w:p>
          <w:p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czerwca 1944 r., 24 kwietnia 1945 r., </w:t>
            </w:r>
          </w:p>
          <w:p w:rsidR="00DE325A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znaczenie operacji „Bagration</w:t>
            </w:r>
          </w:p>
          <w:p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przedstawia ustalenia oraz znaczenie konferencji Wielkiej Trójki w Jałcie oraz Poczdamie</w:t>
            </w:r>
          </w:p>
          <w:p w:rsidR="00E95E60" w:rsidRPr="00337F0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335" w:type="dxa"/>
            <w:gridSpan w:val="2"/>
          </w:tcPr>
          <w:p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omawia działalność postaci: Dwighta Eisenhowera, Alfreda Jodla, Wilhelma Keitla, Hirohito</w:t>
            </w:r>
          </w:p>
          <w:p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przebieg działań wojennych w Europie i na Dalekim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>W</w:t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schodzie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>w 1945 r.</w:t>
            </w:r>
          </w:p>
          <w:p w:rsidR="00E95E60" w:rsidRPr="00337F04" w:rsidRDefault="00E95E60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omawia działalność postaci:  George’a Pattona, Douglasa MacArthura</w:t>
            </w:r>
          </w:p>
          <w:p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14 stycznia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10 lipca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19 sierpnia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8 września 1943 r., 23/24 czerwca 1944 r., październik 1944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12 stycznia 1945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>16 kwietnia 1945 r.</w:t>
            </w:r>
          </w:p>
          <w:p w:rsidR="00E95E60" w:rsidRPr="00337F04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wyjaśnia znaczenie udziału Wojska Polskiego w operacji berlińskiej 1945</w:t>
            </w:r>
          </w:p>
        </w:tc>
        <w:tc>
          <w:tcPr>
            <w:tcW w:w="1701" w:type="dxa"/>
          </w:tcPr>
          <w:p w:rsidR="00E95E60" w:rsidRPr="00337F04" w:rsidRDefault="00DE325A" w:rsidP="00D1294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przedstawia okoliczności zamachu na Hitlera</w:t>
            </w:r>
          </w:p>
        </w:tc>
      </w:tr>
      <w:tr w:rsidR="00B82F11" w:rsidRPr="00337F04" w:rsidTr="00372F15">
        <w:trPr>
          <w:trHeight w:val="1266"/>
        </w:trPr>
        <w:tc>
          <w:tcPr>
            <w:tcW w:w="15593" w:type="dxa"/>
            <w:gridSpan w:val="11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</w:t>
            </w:r>
          </w:p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Polacy podczas II wojny światowej</w:t>
            </w:r>
          </w:p>
        </w:tc>
      </w:tr>
      <w:tr w:rsidR="00B75452" w:rsidRPr="00337F04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Polska pod okupacją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ziem polskich w 1939 r.</w:t>
            </w:r>
          </w:p>
          <w:p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Wyniszczenie polskich elit</w:t>
            </w:r>
          </w:p>
          <w:p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III Rzeszy wobec Polaków</w:t>
            </w:r>
          </w:p>
          <w:p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Niemieckie zbrodnie w Polsce</w:t>
            </w:r>
          </w:p>
          <w:p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ZSRS wobec Polaków</w:t>
            </w:r>
          </w:p>
          <w:p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Deportacje w głąb ZSRS</w:t>
            </w:r>
          </w:p>
          <w:p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Zbrodnia katyńska</w:t>
            </w:r>
          </w:p>
          <w:p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Wobec sowieckiej okupacji</w:t>
            </w:r>
          </w:p>
        </w:tc>
        <w:tc>
          <w:tcPr>
            <w:tcW w:w="2908" w:type="dxa"/>
            <w:gridSpan w:val="2"/>
          </w:tcPr>
          <w:p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deportacja, </w:t>
            </w:r>
          </w:p>
          <w:p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Maksymiliana Marii Kolbego, Hansa Franka</w:t>
            </w:r>
          </w:p>
          <w:p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omawia i wskazuje na mapie podział ziem polskich okupowanych przez ZSRS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34A0B">
              <w:rPr>
                <w:rFonts w:ascii="Cambria" w:eastAsia="Times" w:hAnsi="Cambria" w:cs="Arial"/>
                <w:bCs/>
                <w:color w:val="000000"/>
              </w:rPr>
              <w:t>i III Rzeszę oraz zmiany wprowadzone po 1941 r.</w:t>
            </w:r>
          </w:p>
          <w:p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podaje przykłady zbrodni niemieckich dokonanych na </w:t>
            </w: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>ludności polskiej</w:t>
            </w:r>
          </w:p>
          <w:p w:rsidR="00B75452" w:rsidRPr="00337F04" w:rsidRDefault="001F2D00" w:rsidP="00E25EB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wskazuje grupy społeczne najbardziej narażone na prześladowania niemieckie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i sowieckie</w:t>
            </w:r>
          </w:p>
        </w:tc>
        <w:tc>
          <w:tcPr>
            <w:tcW w:w="2908" w:type="dxa"/>
            <w:gridSpan w:val="2"/>
          </w:tcPr>
          <w:p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Volkslista, kontyngent, „gadzinówka”, deportacja, </w:t>
            </w:r>
          </w:p>
          <w:p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Wandy Wasilewskiej</w:t>
            </w:r>
          </w:p>
          <w:p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wymienia wydarzenia związane z datami: kwiecień–maj 1940 r., maj–czerwiec 1940 r.</w:t>
            </w:r>
          </w:p>
          <w:p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omawia przebieg deportacji Polaków </w:t>
            </w:r>
          </w:p>
          <w:p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z Kresów Wschodnich w głąb </w:t>
            </w: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>ZSRS</w:t>
            </w:r>
          </w:p>
          <w:p w:rsidR="00B75452" w:rsidRPr="00337F04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– charakteryzuje przebieg oraz znaczenie zbrodni katyńskiej</w:t>
            </w:r>
          </w:p>
        </w:tc>
        <w:tc>
          <w:tcPr>
            <w:tcW w:w="2268" w:type="dxa"/>
            <w:gridSpan w:val="2"/>
          </w:tcPr>
          <w:p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Sonderaktion „Krakau”, </w:t>
            </w:r>
            <w:r w:rsidR="001F2D00" w:rsidRPr="00534A0B">
              <w:rPr>
                <w:rFonts w:ascii="Cambria" w:eastAsia="Times" w:hAnsi="Cambria" w:cs="Arial"/>
                <w:bCs/>
                <w:color w:val="000000"/>
              </w:rPr>
              <w:t>akcja AB, sowietyzacja</w:t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„granatowa policja”, paszportyzacja</w:t>
            </w:r>
          </w:p>
          <w:p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:rsidR="00B75452" w:rsidRPr="00337F04" w:rsidRDefault="00B75452" w:rsidP="001F2D0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październik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1939 r., 1–2 listopada 1939 r.,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5 marca 1940 r., marzec 1941 r.</w:t>
            </w:r>
          </w:p>
          <w:p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B75452" w:rsidRPr="00337F04" w:rsidRDefault="00E25EB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wyjaśnia rolę okupantów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 zaognianiu trudnych relacji polsko-litewskich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i polsko-ukraińskich</w:t>
            </w:r>
          </w:p>
        </w:tc>
      </w:tr>
      <w:tr w:rsidR="00CB4633" w:rsidRPr="00337F04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CB4633" w:rsidRPr="00337F04" w:rsidRDefault="00CB463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Polskie władze na uchodźstwie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 rząd na uchodźstwie</w:t>
            </w:r>
          </w:p>
          <w:p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siły zbrojne na Zachodzie</w:t>
            </w:r>
          </w:p>
          <w:p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Układ Sikorski–Majski</w:t>
            </w:r>
          </w:p>
          <w:p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Zerwanie stosunków polsko-sowieckich</w:t>
            </w:r>
          </w:p>
          <w:p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Katastrofa gibraltarska</w:t>
            </w:r>
          </w:p>
          <w:p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Polskie władze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ZSRS</w:t>
            </w:r>
          </w:p>
        </w:tc>
        <w:tc>
          <w:tcPr>
            <w:tcW w:w="2908" w:type="dxa"/>
            <w:gridSpan w:val="2"/>
          </w:tcPr>
          <w:p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rząd emigracyjny, armia Andersa, katastrofa gibraltarska</w:t>
            </w:r>
          </w:p>
          <w:p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 </w:t>
            </w:r>
          </w:p>
          <w:p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wyjaśnia okoliczności zerwania przez ZSRS stosunków dyplomatycznych z polskim rządem </w:t>
            </w:r>
          </w:p>
          <w:p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układ Sikorski–Majski, katastrofa gibraltarska</w:t>
            </w:r>
          </w:p>
          <w:p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30 września 1939 r., 30 lipca 1941 r., 14 lutego 1942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>25 kwietnia 1943 r., 4 lipca 1943 r.</w:t>
            </w:r>
          </w:p>
          <w:p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omawia założenia układu Sikorski–Majski</w:t>
            </w:r>
          </w:p>
          <w:p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opisuje okoliczności wyjścia z ZSRS armii gen. Władysława Andersa</w:t>
            </w:r>
          </w:p>
          <w:p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Stanisława Mikołajczyka, </w:t>
            </w:r>
          </w:p>
          <w:p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:rsidR="003534BB" w:rsidRPr="003534BB" w:rsidRDefault="003534BB" w:rsidP="0019019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13 listopada 1939 r.,  13 kwietnia 1943 r., 30 czerwca 1943 r., </w:t>
            </w:r>
          </w:p>
          <w:p w:rsidR="00CB4633" w:rsidRPr="00337F04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>– charakteryzuje postawę Wielkiej Trójki wobec ZSRS</w:t>
            </w:r>
          </w:p>
        </w:tc>
        <w:tc>
          <w:tcPr>
            <w:tcW w:w="1984" w:type="dxa"/>
          </w:tcPr>
          <w:p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– stosuje pojęcie: Rada Narodowa RP</w:t>
            </w:r>
          </w:p>
          <w:p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Bolesława Bieruta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i Władysława Gomułki, Kazimierza Sosnkowskiego, Cyryla Ratajskiego, Pawła Findera, Marcelego Nowotki</w:t>
            </w:r>
          </w:p>
          <w:p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</w:p>
          <w:p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31 grudnia 1943 r./</w:t>
            </w:r>
          </w:p>
          <w:p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1 stycznia 1944 r., styczeń 1944 r.</w:t>
            </w:r>
          </w:p>
          <w:p w:rsidR="00CB4633" w:rsidRPr="00E25EB1" w:rsidRDefault="003534BB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tworzące się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w ZSRS i w kraju ośrodki przyszłych polskich władz komunistycznych (od powstania PPR do utworzenia KRN)</w:t>
            </w:r>
          </w:p>
        </w:tc>
        <w:tc>
          <w:tcPr>
            <w:tcW w:w="2126" w:type="dxa"/>
            <w:gridSpan w:val="2"/>
          </w:tcPr>
          <w:p w:rsidR="008B57FC" w:rsidRPr="00484E3E" w:rsidRDefault="008B57FC" w:rsidP="008B57F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przedstawia okoliczności utworzenia polskiego rządu emigracyjnego (w tym umowę paryską oraz antysanacyjny charakter rządu)</w:t>
            </w:r>
          </w:p>
          <w:p w:rsidR="00CB4633" w:rsidRPr="00337F04" w:rsidRDefault="009B6D0D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ocenia znaczenie śmierci gen. Władysława Sikorskiego</w:t>
            </w:r>
          </w:p>
        </w:tc>
      </w:tr>
      <w:tr w:rsidR="006A0882" w:rsidRPr="00337F04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6A0882" w:rsidRPr="00337F04" w:rsidRDefault="006A088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Polskie Państwo Podziemne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Struktury Polskiego Państwa Podziemnego</w:t>
            </w:r>
          </w:p>
          <w:p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Konspiracja wojskowa </w:t>
            </w:r>
          </w:p>
          <w:p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Działalność Polskiego Podziemia</w:t>
            </w:r>
          </w:p>
          <w:p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Konspiracja cywilna</w:t>
            </w:r>
          </w:p>
          <w:p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Pozostałe podziemne organizacje zbrojne</w:t>
            </w:r>
          </w:p>
          <w:p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Rzeź wołyńska</w:t>
            </w:r>
          </w:p>
          <w:p w:rsidR="006A0882" w:rsidRPr="00D02916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Akcja „Burza</w:t>
            </w:r>
          </w:p>
        </w:tc>
        <w:tc>
          <w:tcPr>
            <w:tcW w:w="2908" w:type="dxa"/>
            <w:gridSpan w:val="2"/>
          </w:tcPr>
          <w:p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stosuje pojęcia: Polskie Państwo Podziemne, Związek Walki Zbrojnej, Armia Krajowa, partyzantka, rzeź wołyńska, tajne komplety</w:t>
            </w:r>
          </w:p>
          <w:p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27 września 1939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14 lutego 1942 r.</w:t>
            </w:r>
          </w:p>
          <w:p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cele i przebieg akcji „Burza”</w:t>
            </w:r>
          </w:p>
          <w:p w:rsidR="006A0882" w:rsidRPr="00337F04" w:rsidRDefault="006A0882" w:rsidP="00223AC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stosuje pojęcia:  cichociemni, Delegat Rządu RP na Kraj, sabotaż, dywersja, „krwawa niedziela”, </w:t>
            </w:r>
          </w:p>
          <w:p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działalność postaci: Stefana Roweckiego ps. Grot, Augusta Emila Fieldorfa</w:t>
            </w:r>
          </w:p>
          <w:p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wymienia konspiracyjne struktury wojskowe (SZP, ZWZ, AK, Bataliony Chłopskie)</w:t>
            </w:r>
          </w:p>
          <w:p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opisuje najważniejsze akcje ZWZ–AK </w:t>
            </w:r>
          </w:p>
          <w:p w:rsidR="004C0CA4" w:rsidRPr="008955A8" w:rsidRDefault="004C0CA4" w:rsidP="004C0C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przedstawia genezę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i przebieg rzezi wołyńskiej</w:t>
            </w:r>
          </w:p>
          <w:p w:rsidR="006A0882" w:rsidRPr="00337F04" w:rsidRDefault="006A0882" w:rsidP="009F25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stosuje pojęcia: BIP, Związek Odwetu, organizacja „Wachlarz”, Kedyw, Gwardia Ludowa, </w:t>
            </w:r>
          </w:p>
          <w:p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Franza Kutschery</w:t>
            </w:r>
            <w:r w:rsidR="001033D2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="001033D2" w:rsidRPr="008955A8">
              <w:rPr>
                <w:rFonts w:ascii="Cambria" w:eastAsia="Times" w:hAnsi="Cambria" w:cs="Arial"/>
                <w:bCs/>
                <w:color w:val="000000"/>
              </w:rPr>
              <w:t>Tadeusza Komorowskiego ps. Bór, Jana Karskiego, Michała Karaszewicza-Tokarzewskiego,</w:t>
            </w:r>
          </w:p>
          <w:p w:rsidR="006E4572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11 lipca 1943 r., </w:t>
            </w:r>
          </w:p>
          <w:p w:rsidR="006A0882" w:rsidRPr="00337F04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1 lutego 1944 r.</w:t>
            </w:r>
          </w:p>
        </w:tc>
        <w:tc>
          <w:tcPr>
            <w:tcW w:w="1984" w:type="dxa"/>
          </w:tcPr>
          <w:p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stosuje pojęcia: Rada Jedności Narodowej, Narodowa Organizacja Wojskowa, WRN</w:t>
            </w:r>
          </w:p>
          <w:p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Cyryla Ratajskiego,</w:t>
            </w:r>
          </w:p>
          <w:p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datami:, 9 stycznia 1944 r., 26 marca 1943 r., </w:t>
            </w:r>
          </w:p>
          <w:p w:rsidR="006A0882" w:rsidRPr="00337F04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30 czerwca 1943 r., </w:t>
            </w:r>
          </w:p>
        </w:tc>
        <w:tc>
          <w:tcPr>
            <w:tcW w:w="2126" w:type="dxa"/>
            <w:gridSpan w:val="2"/>
          </w:tcPr>
          <w:p w:rsidR="006A0882" w:rsidRPr="00337F04" w:rsidRDefault="0077315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7315A">
              <w:rPr>
                <w:rFonts w:ascii="Cambria" w:eastAsia="Calibri" w:hAnsi="Cambria" w:cs="Arial"/>
                <w:bCs/>
                <w:color w:val="000000"/>
              </w:rPr>
              <w:t>– omawia działalność postaci: Zygmunta Berlinga, Bolesława Bieruta,</w:t>
            </w:r>
          </w:p>
        </w:tc>
      </w:tr>
      <w:tr w:rsidR="004A5B3F" w:rsidRPr="00337F04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Powstanie warszawskie i rok 1945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Przyczyny wybuchu powstania</w:t>
            </w:r>
          </w:p>
          <w:p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Przebieg walk powstańczych</w:t>
            </w:r>
          </w:p>
          <w:p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Zachodni alianci wobec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owstania</w:t>
            </w:r>
          </w:p>
          <w:p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Upadek powstania</w:t>
            </w:r>
          </w:p>
          <w:p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Znaczenie powstania warszawskiego</w:t>
            </w:r>
          </w:p>
          <w:p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Nowe rządy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na ziemiach polskich</w:t>
            </w:r>
          </w:p>
        </w:tc>
        <w:tc>
          <w:tcPr>
            <w:tcW w:w="2908" w:type="dxa"/>
            <w:gridSpan w:val="2"/>
          </w:tcPr>
          <w:p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stosuje pojęcia: akcja „Burza”, godzina „W”, Rząd Tymczasowy</w:t>
            </w:r>
          </w:p>
          <w:p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Komorowskiego ps. Bór, </w:t>
            </w:r>
          </w:p>
          <w:p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1 sierpnia 1944 r., </w:t>
            </w:r>
          </w:p>
          <w:p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2 października 1944 r.</w:t>
            </w:r>
          </w:p>
          <w:p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prezentuje postawę wielkich mocarstw wobec powstania warszawskiego</w:t>
            </w:r>
          </w:p>
          <w:p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</w:t>
            </w:r>
          </w:p>
          <w:p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omawia działalność postaci: Antoniego Chruściela</w:t>
            </w:r>
          </w:p>
          <w:p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przyczyny decyzji o wybuchu powstania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w Warszawie, uwzględniając sytuację na froncie </w:t>
            </w:r>
          </w:p>
          <w:p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i w okupowanej Polsce</w:t>
            </w:r>
          </w:p>
          <w:p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</w:t>
            </w:r>
          </w:p>
          <w:p w:rsidR="00D133CA" w:rsidRPr="00D133CA" w:rsidRDefault="00573C04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prezentuje postawę </w:t>
            </w:r>
            <w:r w:rsidR="00D133CA" w:rsidRPr="00D133CA">
              <w:rPr>
                <w:rFonts w:ascii="Cambria" w:eastAsia="Times" w:hAnsi="Cambria" w:cs="Arial"/>
                <w:bCs/>
                <w:color w:val="000000"/>
              </w:rPr>
              <w:t>wielkich mocarstw wobec powstania warszawskiego</w:t>
            </w:r>
          </w:p>
          <w:p w:rsidR="004A5B3F" w:rsidRPr="00337F04" w:rsidRDefault="004A5B3F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stosuje pojęcia: RONA</w:t>
            </w:r>
          </w:p>
          <w:p w:rsidR="00201F94" w:rsidRPr="00D133CA" w:rsidRDefault="00201F94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prezentuje polskie organizacje partyzanckie, uwzględniając ich stosunek do rządu na uchodźstwie</w:t>
            </w:r>
          </w:p>
          <w:p w:rsidR="00573C04" w:rsidRPr="00D133CA" w:rsidRDefault="00573C04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opisuje przebieg walk oraz bilans powstania warszawskiego</w:t>
            </w:r>
          </w:p>
          <w:p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omawia działalność postaci: Ericha von dem Bacha-Zelewskiego, Ludwiga Fischera, Oskara Dirlewangera, Mieczysława Kamińskiego, Edwarda Osóbki-Morawskiego</w:t>
            </w:r>
          </w:p>
          <w:p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charakteryzuje przebieg walk na ziemiach polskich w 1945 r.</w:t>
            </w:r>
          </w:p>
          <w:p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omawia sposób funkcjonowania Polskiego Państwa </w:t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Podziemnego</w:t>
            </w:r>
          </w:p>
          <w:p w:rsidR="004A5B3F" w:rsidRPr="00337F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wymienia najważniejsze akcje oddziałów polskiego podziemia</w:t>
            </w:r>
          </w:p>
        </w:tc>
        <w:tc>
          <w:tcPr>
            <w:tcW w:w="2126" w:type="dxa"/>
            <w:gridSpan w:val="2"/>
          </w:tcPr>
          <w:p w:rsidR="00BE2BA7" w:rsidRDefault="007A6C04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postaci:Oskara Dirlewangera, Mieczysława Kamińskiego,</w:t>
            </w:r>
          </w:p>
          <w:p w:rsidR="00BE2BA7" w:rsidRPr="007A6C04" w:rsidRDefault="00BE2BA7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ocenia decyzję władz polskiego podziemia dotyczącą wybuchu powstania, uwzględniając sytuację międzynarodową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>i wewnętrzną</w:t>
            </w:r>
          </w:p>
          <w:p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C2294A" w:rsidRPr="00337F04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C2294A" w:rsidRPr="00337F04" w:rsidRDefault="00C2294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 xml:space="preserve">5. Polacy </w:t>
            </w:r>
            <w:r w:rsidR="007F4047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na frontach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Początki Polskich Sił Zbrojnych </w:t>
            </w:r>
          </w:p>
          <w:p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lotnictwo w Anglii</w:t>
            </w:r>
          </w:p>
          <w:p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w Afryce</w:t>
            </w:r>
          </w:p>
          <w:p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Udział w wyzwalaniu Włoch i krajów Europy zachodniej</w:t>
            </w:r>
          </w:p>
          <w:p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zbrojne u boku ZSRS</w:t>
            </w:r>
          </w:p>
        </w:tc>
        <w:tc>
          <w:tcPr>
            <w:tcW w:w="2908" w:type="dxa"/>
            <w:gridSpan w:val="2"/>
          </w:tcPr>
          <w:p w:rsidR="001936EA" w:rsidRPr="001936EA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 w:rsidR="001936EA" w:rsidRPr="001936EA">
              <w:rPr>
                <w:rFonts w:ascii="Cambria" w:eastAsia="Times" w:hAnsi="Cambria" w:cs="Arial"/>
                <w:bCs/>
                <w:color w:val="000000"/>
              </w:rPr>
              <w:t xml:space="preserve">stosuje pojęcia: Polskie Siły Zbrojne na Zachodzie, Enigma, </w:t>
            </w:r>
          </w:p>
          <w:p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Andersa, </w:t>
            </w:r>
          </w:p>
          <w:p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wydarzenia związane z datami: 18 maja 1944 r.</w:t>
            </w:r>
          </w:p>
          <w:p w:rsidR="00C2294A" w:rsidRPr="00337F04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stosuje pojęcia: Armia Polska w ZSRS, Wojsko Polskie w ZSRS, „szczury Tobruku” </w:t>
            </w:r>
          </w:p>
          <w:p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działalność postaci: Mariana Rejewskiego, Henryka Zygalskiego oraz Jerzego Różyckiego, Stanisława Maczka</w:t>
            </w:r>
          </w:p>
          <w:p w:rsidR="00C2294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podaje miejsca oraz formacje biorące udział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w najważniejszych bitwach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II wojny światowej z udziałem Polaków (walki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>o Narwik, bitwa o Anglię, oblężenie Tobruku, Monte Cassino, Arnhem) oraz wskazuje miejsca na mapie</w:t>
            </w:r>
          </w:p>
          <w:p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:rsidR="007F4047" w:rsidRPr="00337F04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825466" w:rsidRPr="00825466" w:rsidRDefault="007F4047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 xml:space="preserve">wymienia wydarzenia związane z datami: </w:t>
            </w:r>
          </w:p>
          <w:p w:rsidR="00D80112" w:rsidRDefault="00825466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25466">
              <w:rPr>
                <w:rFonts w:ascii="Cambria" w:eastAsia="Calibri" w:hAnsi="Cambria" w:cs="Arial"/>
                <w:bCs/>
                <w:color w:val="000000"/>
              </w:rPr>
              <w:t>sierpień–wrzesień 1940 r.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25466">
              <w:rPr>
                <w:rFonts w:ascii="Cambria" w:eastAsia="Calibri" w:hAnsi="Cambria" w:cs="Arial"/>
                <w:bCs/>
                <w:color w:val="000000"/>
              </w:rPr>
              <w:t>5 maja 1945 r.</w:t>
            </w:r>
          </w:p>
          <w:p w:rsidR="00A206AF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 omawia działalność postaci: Władysława Kopańskiego, Stanisława Sosabowskiego,</w:t>
            </w:r>
          </w:p>
          <w:p w:rsidR="00C2294A" w:rsidRPr="00337F04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–opisuje dokonania polskich pilotów podczas II wojny światowej oraz losy polskiej floty wojennej</w:t>
            </w:r>
          </w:p>
        </w:tc>
        <w:tc>
          <w:tcPr>
            <w:tcW w:w="1984" w:type="dxa"/>
          </w:tcPr>
          <w:p w:rsidR="00011CA9" w:rsidRPr="00011CA9" w:rsidRDefault="00011CA9" w:rsidP="00011CA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wymienia wydarzenia związane z datami: styczeń 1940 r., maj 1940 r., sierpień 1940 r., 1942 r., październik </w:t>
            </w:r>
          </w:p>
          <w:p w:rsidR="00C2294A" w:rsidRDefault="00011CA9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1943 r., wrzesień 1944 r., 21 kwietnia 1945 r., </w:t>
            </w:r>
          </w:p>
          <w:p w:rsidR="00D80112" w:rsidRPr="00337F04" w:rsidRDefault="00D80112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80112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postaci:, Zygmunta Berlinga, </w:t>
            </w:r>
          </w:p>
        </w:tc>
        <w:tc>
          <w:tcPr>
            <w:tcW w:w="2126" w:type="dxa"/>
            <w:gridSpan w:val="2"/>
          </w:tcPr>
          <w:p w:rsidR="00C2294A" w:rsidRPr="00337F04" w:rsidRDefault="00A206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206AF">
              <w:rPr>
                <w:rFonts w:ascii="Cambria" w:eastAsia="Calibri" w:hAnsi="Cambria" w:cs="Arial"/>
                <w:bCs/>
                <w:color w:val="000000"/>
              </w:rPr>
              <w:t>– omawia działalność postaci:, Michała Żymierskiego ps. Rola, Karola Świerczewskiego</w:t>
            </w:r>
          </w:p>
        </w:tc>
      </w:tr>
      <w:tr w:rsidR="00B82F11" w:rsidRPr="00337F04" w:rsidTr="00372F15">
        <w:trPr>
          <w:trHeight w:val="1266"/>
        </w:trPr>
        <w:tc>
          <w:tcPr>
            <w:tcW w:w="15593" w:type="dxa"/>
            <w:gridSpan w:val="11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III</w:t>
            </w:r>
          </w:p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II wojnie światowej</w:t>
            </w:r>
          </w:p>
        </w:tc>
      </w:tr>
      <w:tr w:rsidR="00AF4159" w:rsidRPr="00337F04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1. Odbudowa powojennego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Bilans strat wojennych </w:t>
            </w:r>
          </w:p>
          <w:p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Budowa nowego porządku światowego</w:t>
            </w:r>
          </w:p>
          <w:p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ONZ</w:t>
            </w:r>
          </w:p>
          <w:p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Okupacja Niemiec i Austrii</w:t>
            </w:r>
          </w:p>
          <w:p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Doktryna Trumana i plan Marshalla</w:t>
            </w:r>
          </w:p>
          <w:p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Komunizm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Europie</w:t>
            </w:r>
          </w:p>
        </w:tc>
        <w:tc>
          <w:tcPr>
            <w:tcW w:w="2908" w:type="dxa"/>
            <w:gridSpan w:val="2"/>
          </w:tcPr>
          <w:p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układ dwubiegunowy, supermocarstwo, </w:t>
            </w:r>
          </w:p>
          <w:p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przedstawia bilans II wojny światowej dotyczący strat ludności i zniszczeń materialnych</w:t>
            </w:r>
          </w:p>
          <w:p w:rsidR="00AF4159" w:rsidRPr="00337F04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politykę mocarstw wobec okupowanych Niemiec i Austrii</w:t>
            </w:r>
          </w:p>
        </w:tc>
        <w:tc>
          <w:tcPr>
            <w:tcW w:w="2908" w:type="dxa"/>
            <w:gridSpan w:val="2"/>
          </w:tcPr>
          <w:p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stosuje pojęcia: zasada 4D, proces norymberski, doktryna Trumana, plan Marshalla</w:t>
            </w:r>
          </w:p>
          <w:p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George’a Marshalla</w:t>
            </w:r>
          </w:p>
          <w:p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wymienia wydarzenia związane z datami: 1944–1948, 26 czerwca 1945 r.,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17 lipca–2 sierpnia 1945 r., marzec 1947 r.</w:t>
            </w:r>
          </w:p>
          <w:p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wymienia najważniejsze postanowienia konferencji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w Poczdamie</w:t>
            </w:r>
          </w:p>
          <w:p w:rsidR="00AF4159" w:rsidRPr="00337F04" w:rsidRDefault="006875A8" w:rsidP="009647D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charakteryzuje przyczyny wzrostu znaczenia ZSRS oraz US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>A</w:t>
            </w:r>
          </w:p>
        </w:tc>
        <w:tc>
          <w:tcPr>
            <w:tcW w:w="2268" w:type="dxa"/>
            <w:gridSpan w:val="2"/>
          </w:tcPr>
          <w:p w:rsidR="00D2133D" w:rsidRPr="006875A8" w:rsidRDefault="00D2133D" w:rsidP="00D2133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opisuje genezę, cele oraz strukturę ONZ</w:t>
            </w:r>
          </w:p>
          <w:p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stosuje pojęcia: taktyka salami, Kominform</w:t>
            </w:r>
          </w:p>
          <w:p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wyjaśnia przyczyny spadku wpływów Wielkiej Brytanii i Francji</w:t>
            </w:r>
          </w:p>
          <w:p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przejawy wzrostu znaczenia komunizmu w Europie</w:t>
            </w:r>
          </w:p>
          <w:p w:rsidR="00AF4159" w:rsidRPr="00337F04" w:rsidRDefault="00AF4159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wymienia wydarzenia związane z datami: 25 kwietnia 1945 r., 20 listopada 1945 r. –1 października 1946 r., czerwiec 1947 r., 27 września 1947 r.</w:t>
            </w:r>
          </w:p>
          <w:p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 xml:space="preserve">– opisuje znaczenie doktryny Trumana oraz planu Marshalla dla procesu integracji europejskiej </w:t>
            </w:r>
          </w:p>
          <w:p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F4159" w:rsidRPr="00337F04" w:rsidRDefault="00E90B8C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przebieg i wynik wojny domowej w Grecji</w:t>
            </w:r>
          </w:p>
        </w:tc>
      </w:tr>
      <w:tr w:rsidR="00A42450" w:rsidRPr="00337F04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Żelazna kurtyna</w:t>
            </w:r>
          </w:p>
          <w:p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Podzielona Europa</w:t>
            </w:r>
          </w:p>
          <w:p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 zjednoczonej Europie</w:t>
            </w:r>
          </w:p>
          <w:p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Stalinizm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państwach bloku wschodniego</w:t>
            </w:r>
          </w:p>
          <w:p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Powojenne Niemcy i Austria</w:t>
            </w:r>
          </w:p>
          <w:p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Powstanie RFN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NRD</w:t>
            </w:r>
          </w:p>
          <w:p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Śmierć Stalina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destalinizacja</w:t>
            </w:r>
          </w:p>
          <w:p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węgierskie</w:t>
            </w:r>
          </w:p>
        </w:tc>
        <w:tc>
          <w:tcPr>
            <w:tcW w:w="2908" w:type="dxa"/>
            <w:gridSpan w:val="2"/>
          </w:tcPr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stosuje pojęcia: żelazna kurtyna, zimna wojna, NRD, RFN, NATO, Układ Warszawski, </w:t>
            </w:r>
          </w:p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Nikity Chruszczowa, </w:t>
            </w:r>
          </w:p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wymienia wydarzenia związane z datami: 5 marca 1946</w:t>
            </w:r>
            <w:r w:rsidR="0065462B">
              <w:rPr>
                <w:rFonts w:ascii="Cambria" w:eastAsia="Times" w:hAnsi="Cambria" w:cs="Arial"/>
                <w:bCs/>
                <w:color w:val="000000"/>
              </w:rPr>
              <w:t xml:space="preserve">r., </w:t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5 marca 1953 r., </w:t>
            </w:r>
          </w:p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:rsidR="002A4B0C" w:rsidRPr="00AE4BC3" w:rsidRDefault="002A4B0C" w:rsidP="002A4B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charakteryzuje cechy stalinizmu w państwach Europy Środkowo-Wschodniej </w:t>
            </w:r>
          </w:p>
          <w:p w:rsidR="00A42450" w:rsidRPr="00337F04" w:rsidRDefault="00D01D08" w:rsidP="00AE49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>– omawia formy kultu jednostki w krajach komunistycznych</w:t>
            </w:r>
          </w:p>
        </w:tc>
        <w:tc>
          <w:tcPr>
            <w:tcW w:w="2908" w:type="dxa"/>
            <w:gridSpan w:val="2"/>
          </w:tcPr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stosuje pojęcia: strefy okupacyjne, Bizonia, Trizonia, blokada Berlina Zachodniego, most powietrzny, EWWiS, Beneluks</w:t>
            </w:r>
          </w:p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działalność postaci: Konrada Adenauera, Roberta Schumana</w:t>
            </w:r>
          </w:p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1948 r.–maj 1949 r.,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>4 kwietnia 1949 r., , 14 maja 1955 r., luty 1956 r.</w:t>
            </w:r>
          </w:p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charakteryzuje różnice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w podejściu mocarstw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do kwestii niemieckiej </w:t>
            </w:r>
          </w:p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przedstawia przebieg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i rezultat sowieckiej blokady </w:t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>Berlina</w:t>
            </w:r>
          </w:p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genezę powstania NATO oraz podaje nazwy najważniejszych państw, które przystąpiły do NATO oraz Układu Warszawskiego</w:t>
            </w:r>
          </w:p>
          <w:p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:rsidR="00A42450" w:rsidRPr="00337F04" w:rsidRDefault="00A42450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Rada Europy</w:t>
            </w:r>
          </w:p>
          <w:p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Imre Nagya, Ławrientija Berii, </w:t>
            </w:r>
          </w:p>
          <w:p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20 września 1949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7 października 1949 r., </w:t>
            </w:r>
            <w:r w:rsidR="00864C89" w:rsidRPr="00997A26">
              <w:rPr>
                <w:rFonts w:ascii="Cambria" w:eastAsia="Times" w:hAnsi="Cambria" w:cs="Arial"/>
                <w:bCs/>
                <w:color w:val="000000"/>
              </w:rPr>
              <w:t>23 lipca 1952 r.</w:t>
            </w:r>
            <w:r w:rsidR="00864C89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16 czerwca 1953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23 października–4 listopada 1956 r.</w:t>
            </w:r>
          </w:p>
          <w:p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charakteryzuje przebieg integracji europejskiej w latach 50. XX w. </w:t>
            </w:r>
          </w:p>
          <w:p w:rsidR="00864C89" w:rsidRDefault="00E97C27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>– wyjaśnia genezę powstania dwóch państw niemieckich</w:t>
            </w:r>
          </w:p>
          <w:p w:rsidR="00864C89" w:rsidRPr="00997A26" w:rsidRDefault="00864C89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podaje przyczyny wystąpień na Węgrzech w 1956 r.</w:t>
            </w:r>
          </w:p>
          <w:p w:rsidR="00A42450" w:rsidRPr="00337F04" w:rsidRDefault="00A42450" w:rsidP="00C41AD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tajny referat, Rada Europy</w:t>
            </w:r>
          </w:p>
          <w:p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Wilhelma Piecka, Waltera Ulbrichta, Janosa Kadara, Alcide de Gasperiego, </w:t>
            </w:r>
          </w:p>
          <w:p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podaje przyczyny powstania berlińskiego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z 1953 r.</w:t>
            </w:r>
          </w:p>
          <w:p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opisuje przebieg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i skutki wydarzeń na Węgrzech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w 1956 r.</w:t>
            </w:r>
          </w:p>
          <w:p w:rsidR="00A42450" w:rsidRPr="00337F04" w:rsidRDefault="00A42450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42450" w:rsidRPr="00337F04" w:rsidRDefault="00C41AD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41ADA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 JózsefaMindszentyego, PálaMalétera</w:t>
            </w:r>
          </w:p>
        </w:tc>
      </w:tr>
      <w:tr w:rsidR="009E3B52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9E3B52" w:rsidRPr="00337F04" w:rsidRDefault="009E3B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Azja w czasach dekolonizacji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Walka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niepodległość Indii</w:t>
            </w:r>
          </w:p>
          <w:p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Chińska Republika Ludowa</w:t>
            </w:r>
          </w:p>
          <w:p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Chiny w czasach Mao Zedonga</w:t>
            </w:r>
          </w:p>
          <w:p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Korei</w:t>
            </w:r>
          </w:p>
          <w:p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Wyzwolenie Indochin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Indonezji</w:t>
            </w:r>
          </w:p>
          <w:p w:rsidR="009E3B52" w:rsidRPr="00337F04" w:rsidRDefault="009E3B52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stosuje pojęcia: taktyka biernego oporu, Wielki Skok, rewolucja kulturalna, </w:t>
            </w:r>
          </w:p>
          <w:p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Mahatmy Gandhiego, Mao Zedonga, </w:t>
            </w:r>
          </w:p>
          <w:p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wskazuje na mapie: Indie, Pakistan, Chiny, </w:t>
            </w:r>
          </w:p>
          <w:p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:rsidR="009E3B52" w:rsidRPr="00337F04" w:rsidRDefault="009E3B52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908" w:type="dxa"/>
            <w:gridSpan w:val="2"/>
          </w:tcPr>
          <w:p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stosuje pojęcia: czerwona książeczka</w:t>
            </w:r>
          </w:p>
          <w:p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omawia działalność postaci: Ho Chi Minha, Czang Kaj-szeka</w:t>
            </w:r>
          </w:p>
          <w:p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wymienia wydarzenia związane z latami: 1947 r., 1949 r., 1950–1953</w:t>
            </w:r>
          </w:p>
          <w:p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wskazuje na mapie: Tajwan, Japonię, Koreę Północną i Południową, Wietnam</w:t>
            </w:r>
          </w:p>
          <w:p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opisuje przemiany </w:t>
            </w:r>
            <w:r w:rsidR="001C7BD7">
              <w:rPr>
                <w:rFonts w:ascii="Cambria" w:hAnsi="Cambria" w:cs="Arial"/>
              </w:rPr>
              <w:br/>
            </w:r>
            <w:r w:rsidRPr="00D855B6">
              <w:rPr>
                <w:rFonts w:ascii="Cambria" w:hAnsi="Cambria" w:cs="Arial"/>
              </w:rPr>
              <w:t>w Chinach w latach 40. XX w.</w:t>
            </w:r>
          </w:p>
          <w:p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:rsidR="009E3B52" w:rsidRPr="00337F04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wymienia komunistyczne kraje Dalekiego Wschodu</w:t>
            </w:r>
          </w:p>
        </w:tc>
        <w:tc>
          <w:tcPr>
            <w:tcW w:w="2268" w:type="dxa"/>
            <w:gridSpan w:val="2"/>
          </w:tcPr>
          <w:p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stosuje pojęcia: Kuomintang, Czerwona Gwardia, hunwejbini, </w:t>
            </w:r>
          </w:p>
          <w:p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Douglasa MacArthura, Kim Ir Sena, </w:t>
            </w:r>
          </w:p>
          <w:p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wymienia wydarzenia związane z latami: 1954 r., 1955–1975, 1971</w:t>
            </w:r>
          </w:p>
          <w:p w:rsidR="008F6C72" w:rsidRDefault="00514868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:rsidR="00344FFD" w:rsidRPr="00D855B6" w:rsidRDefault="00344FFD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opisuje przebieg walki o niepodległość Indii</w:t>
            </w:r>
          </w:p>
          <w:p w:rsidR="009E3B52" w:rsidRPr="00337F04" w:rsidRDefault="00514868" w:rsidP="001C7BD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charakteryzuje komunistyczne reżimy w Chinach, Korei Północnej, Wietnamie i Kambodży, uwzględniając szczególnie stosunek władzy do jednostki</w:t>
            </w:r>
          </w:p>
        </w:tc>
        <w:tc>
          <w:tcPr>
            <w:tcW w:w="1984" w:type="dxa"/>
          </w:tcPr>
          <w:p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stosuje pojęcia: Kuomintang, Czerwona Gwardia, hunwejbini, Czerwoni Khmerzy</w:t>
            </w:r>
          </w:p>
          <w:p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omawia działalność postaci:Denga Xiaopinga</w:t>
            </w:r>
          </w:p>
          <w:p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wskazuje na mapie: Laos, Kambodżę, Kaszmir</w:t>
            </w:r>
          </w:p>
          <w:p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podaje przykłady państw Dalekiego Wschodu współpracujących z USA</w:t>
            </w:r>
          </w:p>
          <w:p w:rsidR="009E3B52" w:rsidRPr="00337F04" w:rsidRDefault="009E3B52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9E3B52" w:rsidRPr="00337F04" w:rsidRDefault="00295D1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– przedstawia przykłady konfliktów postkolonialnych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>w Azji</w:t>
            </w:r>
          </w:p>
        </w:tc>
      </w:tr>
      <w:tr w:rsidR="00480CD3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480CD3" w:rsidRPr="00337F04" w:rsidRDefault="00480CD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Bliski Wschód i Afryka po II wojnie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Izraela</w:t>
            </w:r>
          </w:p>
          <w:p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sueski</w:t>
            </w:r>
          </w:p>
          <w:p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 wojny sześciodniowej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 kryzysu paliwowego</w:t>
            </w:r>
          </w:p>
          <w:p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islamska w Iranie</w:t>
            </w:r>
          </w:p>
          <w:p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Dekolonizacja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okresu dekolonizacji</w:t>
            </w:r>
          </w:p>
          <w:p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Państwa Trzeciego Świata</w:t>
            </w:r>
          </w:p>
        </w:tc>
        <w:tc>
          <w:tcPr>
            <w:tcW w:w="2908" w:type="dxa"/>
            <w:gridSpan w:val="2"/>
          </w:tcPr>
          <w:p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stosuje pojęcia: Bliski Wschód, apartheid, państwa Trzeciego Świata</w:t>
            </w:r>
          </w:p>
          <w:p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:rsidR="001C7BD7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charakteryzuje konflikt izraelsko-palestyński, dostrzegając rolę światowych mocarstw </w:t>
            </w:r>
          </w:p>
          <w:p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konflikcie na Bliskim Wschodzie</w:t>
            </w:r>
          </w:p>
          <w:p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908" w:type="dxa"/>
            <w:gridSpan w:val="2"/>
          </w:tcPr>
          <w:p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stosuje pojęcia: syjonizm, kryzys sueski, Rok Afryki, </w:t>
            </w:r>
          </w:p>
          <w:p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działalność postaci: Dawida Ben Guriona, Jasera Arafata, Saddama Husajna, Nelsona Mandeli</w:t>
            </w:r>
          </w:p>
          <w:p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wymienia wydarzenia związane z latami: 1948 r., 1956 r., 1967 r., 1973 r. </w:t>
            </w:r>
          </w:p>
          <w:p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przyczyny i skutki dekolonizacji Afryki</w:t>
            </w:r>
          </w:p>
          <w:p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268" w:type="dxa"/>
            <w:gridSpan w:val="2"/>
          </w:tcPr>
          <w:p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wojna sześciodniowa, wojna JomKippur,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>bantustan, kibuc, ajatollah</w:t>
            </w:r>
          </w:p>
          <w:p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Gamala Abdela Nasera, </w:t>
            </w:r>
          </w:p>
          <w:p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wskazuje na mapie: półwysep Synaj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Jerozolimę, Tel Awiw, </w:t>
            </w:r>
          </w:p>
          <w:p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:rsidR="00385E3D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14 maja 1948 r., </w:t>
            </w:r>
          </w:p>
          <w:p w:rsidR="00480CD3" w:rsidRPr="00337F04" w:rsidRDefault="00385E3D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opisuje znaczenie rewolucji islamskiej </w:t>
            </w:r>
            <w:r w:rsidR="001C7BD7">
              <w:rPr>
                <w:rFonts w:ascii="Cambria" w:eastAsia="Times" w:hAnsi="Cambria" w:cs="Arial"/>
                <w:bCs/>
                <w:color w:val="000000"/>
                <w:lang w:bidi="pl-PL"/>
              </w:rPr>
              <w:br/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Iranie</w:t>
            </w:r>
          </w:p>
        </w:tc>
        <w:tc>
          <w:tcPr>
            <w:tcW w:w="1984" w:type="dxa"/>
          </w:tcPr>
          <w:p w:rsidR="00EA6821" w:rsidRDefault="00803751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stosuje pojęcia: wojna sześciodniowa, wojna JomKippur, , kibuc,</w:t>
            </w:r>
          </w:p>
          <w:p w:rsidR="005B5647" w:rsidRDefault="005B5647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5647">
              <w:rPr>
                <w:rFonts w:ascii="Cambria" w:eastAsia="Calibri" w:hAnsi="Cambria" w:cs="Arial"/>
                <w:bCs/>
                <w:color w:val="000000"/>
              </w:rPr>
              <w:t>– omawia działalność postaci: ajatollaha RuhollahaChomejniego</w:t>
            </w:r>
          </w:p>
          <w:p w:rsidR="00FD525F" w:rsidRDefault="00FD525F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D525F">
              <w:rPr>
                <w:rFonts w:ascii="Cambria" w:eastAsia="Calibri" w:hAnsi="Cambria" w:cs="Arial"/>
                <w:bCs/>
                <w:color w:val="000000"/>
              </w:rPr>
              <w:t>– wskazuje na mapie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FD525F">
              <w:rPr>
                <w:rFonts w:ascii="Cambria" w:eastAsia="Calibri" w:hAnsi="Cambria" w:cs="Arial"/>
                <w:bCs/>
                <w:color w:val="000000"/>
              </w:rPr>
              <w:t>Zachodni Brzeg Jordanu, wzgórza Golan, Kuwejt, Biafrę, Katangę</w:t>
            </w:r>
          </w:p>
          <w:p w:rsidR="00374AC5" w:rsidRPr="00374AC5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:rsidR="00374AC5" w:rsidRPr="00337F04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>1954 r., 1979 r., 1980–1988, 1990–1991</w:t>
            </w:r>
          </w:p>
        </w:tc>
        <w:tc>
          <w:tcPr>
            <w:tcW w:w="2126" w:type="dxa"/>
            <w:gridSpan w:val="2"/>
          </w:tcPr>
          <w:p w:rsidR="00480CD3" w:rsidRDefault="0080375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harkisi, </w:t>
            </w:r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OJA, Ruch Państw Niezaangażowanych</w:t>
            </w:r>
          </w:p>
          <w:p w:rsidR="00064E76" w:rsidRPr="00337F04" w:rsidRDefault="00064E7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64E76">
              <w:rPr>
                <w:rFonts w:ascii="Cambria" w:eastAsia="Calibri" w:hAnsi="Cambria" w:cs="Arial"/>
                <w:bCs/>
                <w:color w:val="000000"/>
              </w:rPr>
              <w:t>– omawia działalność postaci: Frederika de Klerka, Patrice’a Lumumby</w:t>
            </w:r>
          </w:p>
        </w:tc>
      </w:tr>
      <w:tr w:rsidR="00E90DE8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Konflikty okresu zimnej wojny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kubańska</w:t>
            </w:r>
          </w:p>
          <w:p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kubański</w:t>
            </w:r>
          </w:p>
          <w:p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Ameryce Południowej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Środkowej </w:t>
            </w:r>
          </w:p>
          <w:p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Wojna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Wietnamie</w:t>
            </w:r>
          </w:p>
          <w:p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Praska Wiosna</w:t>
            </w:r>
          </w:p>
        </w:tc>
        <w:tc>
          <w:tcPr>
            <w:tcW w:w="2908" w:type="dxa"/>
            <w:gridSpan w:val="2"/>
          </w:tcPr>
          <w:p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stosuje pojęcia: kryzys kubański, Praska Wiosna, mur berliński</w:t>
            </w:r>
          </w:p>
          <w:p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Fidela Castro, Leonida Breżniewa, </w:t>
            </w:r>
          </w:p>
          <w:p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miejsc rywalizacji pomiędzy ZSRS a USA</w:t>
            </w:r>
          </w:p>
          <w:p w:rsidR="00E90DE8" w:rsidRPr="00337F04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stosuje pojęcia: doktryna Breżniewa, gorąca linia, </w:t>
            </w:r>
          </w:p>
          <w:p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działalność postaci: Johna F. Kennedy’ego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kryzysu kubańskiego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przedstawia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miejsc rywalizacji pomiędzy ZSRS a USA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opisuje przyczyny, przebieg i skutki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E90DE8" w:rsidRPr="00337F04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przebieg rywalizacji amerykańsko-sowieckiej w dziedzinie podboju kosmosu</w:t>
            </w:r>
          </w:p>
        </w:tc>
        <w:tc>
          <w:tcPr>
            <w:tcW w:w="2268" w:type="dxa"/>
            <w:gridSpan w:val="2"/>
          </w:tcPr>
          <w:p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stosuje pojęcia: „socjalizm z ludzką twarzą”, </w:t>
            </w:r>
          </w:p>
          <w:p w:rsidR="003F4351" w:rsidRPr="008F7D7E" w:rsidRDefault="003F4351" w:rsidP="003F43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wydarzenia związane z datami: 1959 r., 1961 r., 1968 r. </w:t>
            </w:r>
          </w:p>
          <w:p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Alexandra Dubčeka, Ryszarda Siwca, </w:t>
            </w:r>
          </w:p>
          <w:p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i przebieg wojny w Wietnamie</w:t>
            </w:r>
          </w:p>
          <w:p w:rsidR="00E90DE8" w:rsidRPr="00337F04" w:rsidRDefault="00E90DE8" w:rsidP="003B0A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4226AA" w:rsidRPr="004226AA" w:rsidRDefault="001C7BD7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>stosuje pojęcia: „socjalizm z ludzką twarzą”, operacja „Dunaj”, Vietcon</w:t>
            </w:r>
            <w:r w:rsidR="0067721C">
              <w:rPr>
                <w:rFonts w:ascii="Cambria" w:eastAsia="Calibri" w:hAnsi="Cambria" w:cs="Arial"/>
                <w:bCs/>
                <w:color w:val="000000"/>
              </w:rPr>
              <w:t>g</w:t>
            </w:r>
          </w:p>
          <w:p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działalność postaci: Augusto Pinocheta, GustávaHusáka,  Ernesto Che Guevary</w:t>
            </w:r>
          </w:p>
          <w:p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i przebieg wojny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>w Wietnamie</w:t>
            </w:r>
          </w:p>
          <w:p w:rsidR="00E90DE8" w:rsidRPr="00337F04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– omawia </w:t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lastRenderedPageBreak/>
              <w:t>wydarzenia związane z datami: 12 kwietnia 1961 r., 17 kwietnia 1961 r., 1975 r.</w:t>
            </w:r>
          </w:p>
        </w:tc>
        <w:tc>
          <w:tcPr>
            <w:tcW w:w="2126" w:type="dxa"/>
            <w:gridSpan w:val="2"/>
          </w:tcPr>
          <w:p w:rsidR="001F3FD9" w:rsidRDefault="00CA2CD3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A2CD3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 Daniela Ortegi, Salvadora Allende,</w:t>
            </w:r>
          </w:p>
          <w:p w:rsidR="001F3FD9" w:rsidRPr="004226AA" w:rsidRDefault="001F3FD9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okoliczności przejęcia władzy przez Pinocheta</w:t>
            </w:r>
          </w:p>
          <w:p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7B08D2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 xml:space="preserve">6. Przemiany w powojennym świecie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integracji europejskiej</w:t>
            </w:r>
          </w:p>
          <w:p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rasizmem w USA</w:t>
            </w:r>
          </w:p>
          <w:p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w latach 1945–1968</w:t>
            </w:r>
          </w:p>
          <w:p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obyczajowa lat 60.</w:t>
            </w:r>
          </w:p>
          <w:p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Subkultury i ruchy kontestatorskie</w:t>
            </w:r>
          </w:p>
          <w:p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Sobór </w:t>
            </w:r>
            <w:r w:rsidR="004C16E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watykański II</w:t>
            </w:r>
          </w:p>
        </w:tc>
        <w:tc>
          <w:tcPr>
            <w:tcW w:w="2908" w:type="dxa"/>
            <w:gridSpan w:val="2"/>
          </w:tcPr>
          <w:p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stosuje pojęcia: traktaty rzymskie, rewolucja seksualna, feminizm, segregacja rasowa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działalność postaci: Martina Luthera Kinga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7B08D2" w:rsidRPr="00337F04" w:rsidRDefault="00941ADE" w:rsidP="00334CD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prezentuje poglądy ruchu feministycznego w drugiej </w:t>
            </w:r>
            <w:r w:rsidR="00C12257">
              <w:rPr>
                <w:rFonts w:ascii="Cambria" w:eastAsia="Times" w:hAnsi="Cambria" w:cs="Arial"/>
                <w:bCs/>
                <w:color w:val="000000"/>
              </w:rPr>
              <w:t>połowie XX wieku</w:t>
            </w:r>
          </w:p>
        </w:tc>
        <w:tc>
          <w:tcPr>
            <w:tcW w:w="2908" w:type="dxa"/>
            <w:gridSpan w:val="2"/>
          </w:tcPr>
          <w:p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stosuje pojęcia: EWG, Euratom, feminizm, dzieci kwiaty, ruch hipisowski, pacyfizm, </w:t>
            </w:r>
          </w:p>
          <w:p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Johna 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F. Kennedy’ego, </w:t>
            </w:r>
          </w:p>
          <w:p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wymienia wydarzenia związane z latami: 1962–1965, 1964 r., maj 1968 r.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przedstawia główne przyczyny pojawienia się nowych tendencji w kulturze w latach 60. XX w.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opisuje walkę o równouprawnienie ludności czarnoskórej w USA</w:t>
            </w:r>
          </w:p>
          <w:p w:rsidR="007B08D2" w:rsidRPr="00337F04" w:rsidRDefault="007B08D2" w:rsidP="00635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stosuje pojęcia: Euratom, EFTA, festiwal Woodstock, </w:t>
            </w:r>
          </w:p>
          <w:p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="00A05853" w:rsidRPr="00941ADE">
              <w:rPr>
                <w:rFonts w:ascii="Cambria" w:eastAsia="Times" w:hAnsi="Cambria" w:cs="Arial"/>
                <w:bCs/>
                <w:color w:val="000000"/>
              </w:rPr>
              <w:t>Jana XXIII, Pawła VI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t>BettyFriedan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wymienia wydarzenia związane z datami: grudzień 1965 r., 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podaje przykłady dotyczące kultury lat 60.: Elvisa Presleya, Marilyn Monroe, Brigitte Bardot, Jamesa Deana, Marlona Brando</w:t>
            </w:r>
          </w:p>
          <w:p w:rsidR="007B08D2" w:rsidRPr="004C16EB" w:rsidRDefault="00635352" w:rsidP="00CF4FC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podaje główne założenia przyjęte na soborze watykańskim II</w:t>
            </w:r>
          </w:p>
        </w:tc>
        <w:tc>
          <w:tcPr>
            <w:tcW w:w="1984" w:type="dxa"/>
          </w:tcPr>
          <w:p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stosuje pojęcia: Euratom, EFTA, egzystencjalizm, teatr absurdu, festiwal Woodstock, Czarne Pantery</w:t>
            </w:r>
          </w:p>
          <w:p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omawia działalność postaci: Malcolma X, Rosy Parks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wymienia wydarzenia związane z datami: grudzień 1965 r., 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wyjaśnia genezę terroru środowisk skrajnie lewicowych</w:t>
            </w:r>
          </w:p>
          <w:p w:rsidR="007B08D2" w:rsidRPr="00337F04" w:rsidRDefault="007B08D2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493620" w:rsidRPr="002F28C0" w:rsidRDefault="00493620" w:rsidP="0049362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ocenia znaczenie reform soboru watykańskiego II</w:t>
            </w:r>
          </w:p>
          <w:p w:rsidR="00253A76" w:rsidRDefault="00493620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ocenia znaczenie zamachu na prezydenta USA J. F. Keneddy’ego</w:t>
            </w:r>
          </w:p>
          <w:p w:rsidR="00253A76" w:rsidRPr="002F28C0" w:rsidRDefault="00253A76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określa znaczenie festiwalu w Woodstock</w:t>
            </w:r>
          </w:p>
          <w:p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82F11" w:rsidRPr="00337F04" w:rsidTr="00372F15">
        <w:trPr>
          <w:trHeight w:val="1266"/>
        </w:trPr>
        <w:tc>
          <w:tcPr>
            <w:tcW w:w="15593" w:type="dxa"/>
            <w:gridSpan w:val="11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IV</w:t>
            </w:r>
          </w:p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Polska i Polacy po II wojnie światowej</w:t>
            </w:r>
          </w:p>
        </w:tc>
      </w:tr>
      <w:tr w:rsidR="002C0E92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Początki władzy komunist</w:t>
            </w:r>
            <w:r>
              <w:rPr>
                <w:rFonts w:ascii="Cambria" w:eastAsia="Calibri" w:hAnsi="Cambria" w:cs="Arial"/>
                <w:bCs/>
                <w:lang w:eastAsia="ar-SA"/>
              </w:rPr>
              <w:t>ó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w w Polsce</w:t>
            </w:r>
          </w:p>
          <w:p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Manifest PKWN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Polska lubelska</w:t>
            </w:r>
          </w:p>
          <w:p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Podziemiem</w:t>
            </w:r>
          </w:p>
          <w:p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Nowy rząd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i referendum</w:t>
            </w:r>
          </w:p>
          <w:p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Wybory do sejmu</w:t>
            </w:r>
          </w:p>
          <w:p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partii opozycyjnych i powstanie PZPR</w:t>
            </w:r>
          </w:p>
        </w:tc>
        <w:tc>
          <w:tcPr>
            <w:tcW w:w="2908" w:type="dxa"/>
            <w:gridSpan w:val="2"/>
          </w:tcPr>
          <w:p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Manifest PKWN, żołnierze niezłomni, PSL, </w:t>
            </w:r>
          </w:p>
          <w:p w:rsidR="00D92DA7" w:rsidRPr="00D92DA7" w:rsidRDefault="00D92DA7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</w:t>
            </w:r>
            <w:r w:rsidRPr="00D92DA7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1944 r., 4–11 lutego 1945 r., </w:t>
            </w:r>
          </w:p>
          <w:p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Danuty Siedzikówny ps. Inka, Witolda Pileckiego</w:t>
            </w:r>
          </w:p>
          <w:p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żołnierzy niezłomnych, podaje przykłady postaci</w:t>
            </w:r>
          </w:p>
          <w:p w:rsidR="002C0E92" w:rsidRPr="00337F04" w:rsidRDefault="002C0E92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TRJN, proces szesnastu, kwatera na Łączce, PSL, referendum ludowe</w:t>
            </w:r>
          </w:p>
          <w:p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wymienia wydarzenia </w:t>
            </w:r>
            <w:r w:rsidRPr="00EC547E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związane z datami: czerwiec 1945 r., </w:t>
            </w:r>
          </w:p>
          <w:p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30 czerwca 1946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C547E">
              <w:rPr>
                <w:rFonts w:ascii="Cambria" w:eastAsia="Times" w:hAnsi="Cambria" w:cs="Arial"/>
                <w:bCs/>
                <w:color w:val="000000"/>
              </w:rPr>
              <w:t>19 stycznia 1947 r.</w:t>
            </w:r>
          </w:p>
          <w:p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Leopolda Okulickiego, Bolesława Bieruta,</w:t>
            </w:r>
          </w:p>
          <w:p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referendum ludowego </w:t>
            </w:r>
          </w:p>
          <w:p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podaje przykłady postaci</w:t>
            </w:r>
          </w:p>
          <w:p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opisuje metody walki komunistów z opozycją </w:t>
            </w:r>
          </w:p>
          <w:p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przedstawia wybrane miejsca pamięci ofiar reżimu komunistycznego (Łączka).</w:t>
            </w:r>
          </w:p>
          <w:p w:rsidR="002C0E92" w:rsidRPr="00337F04" w:rsidRDefault="00EC547E" w:rsidP="003127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wymienia przykłady wyborów sfałszowanych przez komunistów (referendum ludowe, wybory 1947 r.)</w:t>
            </w:r>
          </w:p>
        </w:tc>
        <w:tc>
          <w:tcPr>
            <w:tcW w:w="2268" w:type="dxa"/>
            <w:gridSpan w:val="2"/>
          </w:tcPr>
          <w:p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WiN, Testament Polski Walczącej, odchylenie prawicowo-nacjonalistyczne </w:t>
            </w:r>
          </w:p>
          <w:p w:rsidR="00CD5562" w:rsidRPr="00D06D3D" w:rsidRDefault="00D06D3D" w:rsidP="00CD556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</w:p>
          <w:p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Władysława Gomułki, </w:t>
            </w:r>
          </w:p>
          <w:p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lipca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16 sierpnia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grudnia 1944 r., </w:t>
            </w:r>
          </w:p>
          <w:p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31 grudnia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19 stycznia 1945 r., </w:t>
            </w:r>
          </w:p>
        </w:tc>
        <w:tc>
          <w:tcPr>
            <w:tcW w:w="1984" w:type="dxa"/>
          </w:tcPr>
          <w:p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obława augustowska, WiN, Blok Demokratyczny,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>odchylenie prawicowo-nacjonalistyczne</w:t>
            </w:r>
            <w:r w:rsidR="00283A67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="00F7298A" w:rsidRPr="00F7298A">
              <w:rPr>
                <w:rFonts w:ascii="Cambria" w:eastAsia="Calibri" w:hAnsi="Cambria" w:cs="Arial"/>
                <w:bCs/>
                <w:color w:val="000000"/>
              </w:rPr>
              <w:t xml:space="preserve">omawia działalność postaci: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Jana Stanisława Jankowskiego,</w:t>
            </w:r>
          </w:p>
          <w:p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Kazimierza Pużaka, </w:t>
            </w:r>
          </w:p>
          <w:p w:rsidR="00F76007" w:rsidRPr="00D06D3D" w:rsidRDefault="00D06D3D" w:rsidP="00F7600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marca 1945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lipca 1945 r., 1946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28 kwietnia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1947r., 1958 r.</w:t>
            </w:r>
          </w:p>
        </w:tc>
        <w:tc>
          <w:tcPr>
            <w:tcW w:w="2126" w:type="dxa"/>
            <w:gridSpan w:val="2"/>
          </w:tcPr>
          <w:p w:rsidR="002C0E92" w:rsidRDefault="00283A67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Edwarda Osóbki-Morawskiego, Antoniego Hedy,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>Stefana Bembińskiego</w:t>
            </w:r>
          </w:p>
          <w:p w:rsidR="000C649F" w:rsidRPr="00337F04" w:rsidRDefault="000C649F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C649F">
              <w:rPr>
                <w:rFonts w:ascii="Cambria" w:eastAsia="Calibri" w:hAnsi="Cambria" w:cs="Arial"/>
                <w:bCs/>
                <w:color w:val="000000"/>
              </w:rPr>
              <w:t>– przedstawia przebieg i złożone okoliczności pogromu kieleckiego</w:t>
            </w:r>
          </w:p>
        </w:tc>
      </w:tr>
      <w:tr w:rsidR="00B17745" w:rsidRPr="00337F04" w:rsidTr="001A5D4B">
        <w:trPr>
          <w:trHeight w:val="1125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Powojenna odbudowa</w:t>
            </w:r>
          </w:p>
          <w:p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Straty wojenne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bilans ofiar</w:t>
            </w:r>
          </w:p>
          <w:p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Nowe granice Polski</w:t>
            </w:r>
          </w:p>
          <w:p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Przesiedlenia ludności</w:t>
            </w:r>
          </w:p>
          <w:p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rolna</w:t>
            </w:r>
          </w:p>
          <w:p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Nacjonalizacja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kolektywizacja</w:t>
            </w:r>
          </w:p>
          <w:p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Odbudowa przemysłu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infrastruktury w Polsce</w:t>
            </w:r>
          </w:p>
        </w:tc>
        <w:tc>
          <w:tcPr>
            <w:tcW w:w="2908" w:type="dxa"/>
            <w:gridSpan w:val="2"/>
          </w:tcPr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stosuje pojęcia: Ziemie Odzyskane, gospodarka planowa, PGR,</w:t>
            </w:r>
          </w:p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działalność postaci:Bolesława Bieruta</w:t>
            </w:r>
          </w:p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przedstawia bilans polskich strat wojennych</w:t>
            </w:r>
          </w:p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wskazuje na mapie: granice Polski po II wojnie światowej, linię Curzona, Ziemie Odzyskane, Kresy Wschodnie</w:t>
            </w:r>
          </w:p>
          <w:p w:rsidR="00312762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charakteryzuje założenia planu trzyletniego </w:t>
            </w:r>
          </w:p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i sześcioletniego </w:t>
            </w:r>
          </w:p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opisuje przyczyny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i przebieg kolektywizacji rolnictwa w Polsce</w:t>
            </w:r>
          </w:p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wymienia przykłady gospodarczej zależności Polski od ZSRS</w:t>
            </w:r>
          </w:p>
          <w:p w:rsidR="00B17745" w:rsidRPr="00337F04" w:rsidRDefault="00B17745" w:rsidP="00B27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linia Curzona, nacjonalizacja przemysłu, gospodarka planowa, „wyścig pracy”, akcja „Wisła”, </w:t>
            </w:r>
          </w:p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Hilarego Minca, </w:t>
            </w:r>
          </w:p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powojenne przesiedlenia ludności na ziemiach polskich</w:t>
            </w:r>
          </w:p>
          <w:p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znaczenie dekretów o reformie rolnej oraz nacjonalizacji przemysłu</w:t>
            </w:r>
          </w:p>
          <w:p w:rsidR="00B17745" w:rsidRPr="00337F04" w:rsidRDefault="00B17745" w:rsidP="00B3030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stosuje pojęcia: bitwa o handel, CUP, repatriacja dóbr kultury</w:t>
            </w:r>
          </w:p>
          <w:p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omawia działalność postaci: Wincentego Pstrowskiego,</w:t>
            </w:r>
          </w:p>
          <w:p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określa społeczne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polityczne konsekwencje wprowadzenia dekretów o reformie rolnej oraz nacjonalizacji przemysłu</w:t>
            </w:r>
          </w:p>
          <w:p w:rsidR="00B30302" w:rsidRDefault="00D754EF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podaje konsekwencje wymiany pieniędzy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w 1950 r.</w:t>
            </w:r>
          </w:p>
          <w:p w:rsidR="00B30302" w:rsidRDefault="00B30302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:rsidR="00B17745" w:rsidRPr="00337F04" w:rsidRDefault="00B17745" w:rsidP="000C649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Karola Świerczewskiego, Eugeniusza Kwiatkowskiego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Piotra Zaremby</w:t>
            </w:r>
          </w:p>
          <w:p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listopad 1945 r., 1949 r., 28 października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1950 r.</w:t>
            </w:r>
          </w:p>
          <w:p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76A2F" w:rsidRDefault="00D754EF" w:rsidP="00A76A2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A76A2F" w:rsidRPr="00D754EF">
              <w:rPr>
                <w:rFonts w:ascii="Cambria" w:eastAsia="Calibri" w:hAnsi="Cambria" w:cs="Arial"/>
                <w:bCs/>
                <w:color w:val="000000"/>
              </w:rPr>
              <w:t xml:space="preserve"> ocenia okres odbudowy oraz charakteryzuje projekty reformy rolnej oraz nacjonalizacji przemysłu i handlu</w:t>
            </w:r>
          </w:p>
          <w:p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1413C2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1413C2" w:rsidRPr="00337F04" w:rsidRDefault="001413C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Polska w czasach stalinizmu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Polski</w:t>
            </w:r>
          </w:p>
          <w:p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Represje polityczne</w:t>
            </w:r>
          </w:p>
          <w:p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Prześladowania Kościoła w stalinowskiej Polsce</w:t>
            </w:r>
          </w:p>
          <w:p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młodego pokolenia</w:t>
            </w:r>
          </w:p>
          <w:p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Stalinizm w kulturze i nauce</w:t>
            </w:r>
          </w:p>
        </w:tc>
        <w:tc>
          <w:tcPr>
            <w:tcW w:w="2908" w:type="dxa"/>
            <w:gridSpan w:val="2"/>
          </w:tcPr>
          <w:p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 xml:space="preserve">wyjaśnia znaczenie terminów: PZPR, PRL, </w:t>
            </w:r>
          </w:p>
          <w:p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 Bolesława Bieruta</w:t>
            </w:r>
            <w:r w:rsidR="0000310C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>kard. Stefana Wyszyńskiego, Augusta Emila Fieldorfa ps. Nil</w:t>
            </w:r>
          </w:p>
          <w:p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zmiany ustrojowe wprowadzane na mocy Konstytucji PRL z 1952 r.</w:t>
            </w:r>
          </w:p>
          <w:p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 – podaje przykłady socrealizmu w Polsce</w:t>
            </w:r>
          </w:p>
          <w:p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przedstawia przypadki mordów sądowych w okresie stalinizmu na przykładzie sprawy gen. Fieldorfa</w:t>
            </w:r>
          </w:p>
          <w:p w:rsidR="001413C2" w:rsidRPr="00337F04" w:rsidRDefault="001413C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 znaczenie terminów: PZPR, PRL, stalinizm, socrealizm, Pałac Kultury i Nauki, demokracja ludowa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postaci:Józefa Cyrankiewicza, Jakuba Bermana, Hilarego Minca, Władysława Gomułki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wymienia wydarzenia związane z datami: 1948–1956, 15 grudnia 1948 r., 1952 r.</w:t>
            </w:r>
          </w:p>
          <w:p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formy i skutki prześladowania Kościoła katolickiego w okresie stalinizmu,</w:t>
            </w:r>
          </w:p>
          <w:p w:rsidR="001413C2" w:rsidRPr="00337F04" w:rsidRDefault="003577DC" w:rsidP="00C61FA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metody sowietyzacji młodego pokolenia Polaków przedsiębrane przez władze komunistyczne</w:t>
            </w:r>
          </w:p>
        </w:tc>
        <w:tc>
          <w:tcPr>
            <w:tcW w:w="2268" w:type="dxa"/>
            <w:gridSpan w:val="2"/>
          </w:tcPr>
          <w:p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>– stosuje pojęcia: ZMP, Służba Polsce, ZWM, ZSL, SD, ruch księży patriotów, Stowarzyszenie PAX</w:t>
            </w:r>
          </w:p>
          <w:p w:rsidR="00F36685" w:rsidRPr="0000310C" w:rsidRDefault="0000310C" w:rsidP="00F3668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Witolda Pileckiego, </w:t>
            </w:r>
          </w:p>
          <w:p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wrzesień 1947 r., czerwiec 1948 r., 22 lipca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1952 r.</w:t>
            </w:r>
          </w:p>
          <w:p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przedstawia proces sowietyzacji kraju na płaszczyźnie ustrojowej, gospodarczo-społecznej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i kulturowej</w:t>
            </w:r>
          </w:p>
          <w:p w:rsidR="001413C2" w:rsidRPr="00337F04" w:rsidRDefault="001413C2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– stosuje pojęcia: nomenklatura, ruch księży patriotów, Stowarzyszenie PAX</w:t>
            </w:r>
          </w:p>
          <w:p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Czesława Kaczmarka, Zenona Kliszki, Michała </w:t>
            </w:r>
          </w:p>
          <w:p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Żymierskiego ps. Rola</w:t>
            </w:r>
          </w:p>
          <w:p w:rsidR="007237F9" w:rsidRPr="00337F04" w:rsidRDefault="005569FD" w:rsidP="007237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– wymienia wydarzenia związane z datami: wrzesień 1947 r., czerwiec 1948 r., 22 lipca 1952 r.</w:t>
            </w:r>
          </w:p>
          <w:p w:rsidR="001413C2" w:rsidRPr="00337F04" w:rsidRDefault="001413C2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</w:p>
          <w:p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t>Jana Padewskiego, Bolesława Piaseckiego</w:t>
            </w:r>
          </w:p>
          <w:p w:rsidR="001413C2" w:rsidRPr="00337F04" w:rsidRDefault="00312762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t>przedstawia nurt współpracy z komunistami części przedwojennych środowisk politycznych</w:t>
            </w:r>
          </w:p>
        </w:tc>
      </w:tr>
      <w:tr w:rsidR="000C1A06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0C1A06" w:rsidRPr="00337F04" w:rsidRDefault="000C1A0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Odwilż polityczna 1956 roku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 odwilży politycznej</w:t>
            </w:r>
          </w:p>
          <w:p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Rywalizacja frakcji w PZPR</w:t>
            </w:r>
          </w:p>
          <w:p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Poznański Czerwiec 1956 r.</w:t>
            </w:r>
          </w:p>
          <w:p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Październik 1956 roku</w:t>
            </w:r>
          </w:p>
          <w:p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Odwilż i jej zakończenie</w:t>
            </w:r>
          </w:p>
        </w:tc>
        <w:tc>
          <w:tcPr>
            <w:tcW w:w="2908" w:type="dxa"/>
            <w:gridSpan w:val="2"/>
          </w:tcPr>
          <w:p w:rsidR="009B1D6A" w:rsidRPr="009B1D6A" w:rsidRDefault="00312762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9B1D6A" w:rsidRPr="009B1D6A">
              <w:rPr>
                <w:rFonts w:ascii="Cambria" w:eastAsia="Times" w:hAnsi="Cambria" w:cs="Arial"/>
                <w:bCs/>
                <w:color w:val="000000"/>
              </w:rPr>
              <w:t>stosuje pojęcia: odwilż, poznański Czerwiec, polski Październik,</w:t>
            </w:r>
          </w:p>
          <w:p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Gomułki, kard. Stefana Wyszyńskiego, </w:t>
            </w:r>
          </w:p>
          <w:p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wymienia wydarzenia </w:t>
            </w:r>
            <w:r w:rsidRPr="009B1D6A">
              <w:rPr>
                <w:rFonts w:ascii="Cambria" w:eastAsia="Times" w:hAnsi="Cambria" w:cs="Arial"/>
                <w:bCs/>
                <w:color w:val="000000"/>
              </w:rPr>
              <w:lastRenderedPageBreak/>
              <w:t>związane z datami: 1953 r., czerwiec 1956 r., październik 1956 r.</w:t>
            </w:r>
          </w:p>
          <w:p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podaje przykłady odwilży w Polsce po r. 1956</w:t>
            </w:r>
          </w:p>
          <w:p w:rsidR="00845664" w:rsidRPr="00337F04" w:rsidRDefault="00845664" w:rsidP="0084566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:rsidR="000C1A06" w:rsidRPr="00337F04" w:rsidRDefault="000C1A06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lastRenderedPageBreak/>
              <w:t>stosuje pojęcia: aparat bezpieczeństwa, destalinizacja, ZOMO</w:t>
            </w:r>
          </w:p>
          <w:p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omawia działalność postaci: Konstantego Rokossowskiego</w:t>
            </w:r>
          </w:p>
          <w:p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wyjaśnia przyczyny, przebieg i następstwa </w:t>
            </w:r>
            <w:r w:rsidRPr="009B1D6A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poznańskiego Czerwca </w:t>
            </w:r>
          </w:p>
          <w:p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prezentuje okoliczności powrotu Władysława Gomułki do władzy po śmierci Stalina</w:t>
            </w:r>
          </w:p>
          <w:p w:rsidR="000C1A06" w:rsidRPr="00337F04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charakteryzuje zakończenie procesu odwilży w Polsce</w:t>
            </w:r>
          </w:p>
        </w:tc>
        <w:tc>
          <w:tcPr>
            <w:tcW w:w="2268" w:type="dxa"/>
            <w:gridSpan w:val="2"/>
          </w:tcPr>
          <w:p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Klub Krzywego Koła, „Po Prostu”, Kluby Młodej Inteligencji</w:t>
            </w:r>
          </w:p>
          <w:p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Józefa Światły, Józefa Cyrankiewicza, 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lastRenderedPageBreak/>
              <w:t>Romana Strzałkowskiego</w:t>
            </w:r>
          </w:p>
          <w:p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wymienia wydarzenia związane z datami: 28–30 czerwca 1956 r., 19–20 października 1956 r., 1957 r.</w:t>
            </w:r>
          </w:p>
          <w:p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wyjaśnia, jakie było znaczenie VIII Plenum KC PZPR</w:t>
            </w:r>
          </w:p>
          <w:p w:rsidR="000C1A06" w:rsidRPr="00337F04" w:rsidRDefault="000C1A06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F6D36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puławianie, natolińczycy, Klub Krzywego Koła, „Po Prostu”, Kluby Młodej Inteligencji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prezentuje poglądy 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lastRenderedPageBreak/>
              <w:t>natolińczyków oraz puławian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ocenia postawy Józefa Cyrankiewicza i Władysława Gomułki wobec wydarzeń poznańskich na podstawie tekstów źródłowych </w:t>
            </w:r>
          </w:p>
          <w:p w:rsidR="000C1A06" w:rsidRPr="00337F04" w:rsidRDefault="008F6D3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porównuje przebieg i skutki  polskiego Czerwca i Października 1956</w:t>
            </w:r>
            <w:r w:rsidR="00486C6B" w:rsidRPr="00EA1941">
              <w:rPr>
                <w:rFonts w:ascii="Cambria" w:eastAsia="Calibri" w:hAnsi="Cambria" w:cs="Arial"/>
                <w:bCs/>
                <w:color w:val="000000"/>
              </w:rPr>
              <w:t xml:space="preserve"> z powstaniem węgierskim z 1956</w:t>
            </w:r>
            <w:r w:rsidR="00486C6B">
              <w:rPr>
                <w:rFonts w:ascii="Cambria" w:eastAsia="Calibri" w:hAnsi="Cambria" w:cs="Arial"/>
                <w:bCs/>
                <w:color w:val="000000"/>
              </w:rPr>
              <w:t xml:space="preserve"> r.</w:t>
            </w:r>
          </w:p>
        </w:tc>
        <w:tc>
          <w:tcPr>
            <w:tcW w:w="2126" w:type="dxa"/>
            <w:gridSpan w:val="2"/>
          </w:tcPr>
          <w:p w:rsidR="000C1A06" w:rsidRPr="00337F04" w:rsidRDefault="0031276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8F6D36" w:rsidRPr="009B1D6A">
              <w:rPr>
                <w:rFonts w:ascii="Cambria" w:eastAsia="Times" w:hAnsi="Cambria" w:cs="Arial"/>
                <w:bCs/>
                <w:color w:val="000000"/>
              </w:rPr>
              <w:t>opisuje znaczenie wydarzeń październikowych 1956 r. z uwzględnieniem złożonej sytuacji międzynarodowej;</w:t>
            </w:r>
          </w:p>
        </w:tc>
      </w:tr>
      <w:tr w:rsidR="00D3639A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5. Mała stabilizacja za Gomułki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Rządy Gomułki</w:t>
            </w:r>
          </w:p>
          <w:p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zagraniczna PRL</w:t>
            </w:r>
          </w:p>
          <w:p w:rsidR="00312762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 władz </w:t>
            </w:r>
          </w:p>
          <w:p w:rsidR="00D3639A" w:rsidRPr="00337F04" w:rsidRDefault="00D3639A" w:rsidP="00312762">
            <w:pPr>
              <w:pStyle w:val="Akapitzlist"/>
              <w:suppressAutoHyphens/>
              <w:spacing w:after="0" w:line="240" w:lineRule="auto"/>
              <w:ind w:left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 Kościołem</w:t>
            </w:r>
          </w:p>
          <w:p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Kształtowanie się opozycji </w:t>
            </w:r>
          </w:p>
          <w:p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Marzec ‘68</w:t>
            </w:r>
          </w:p>
          <w:p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na Wybrzeżu – Grudzień ‘70</w:t>
            </w:r>
          </w:p>
          <w:p w:rsidR="00D3639A" w:rsidRPr="00337F04" w:rsidRDefault="00D3639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stosuje pojęcia: mała stabilizacja, , obchody Millennium Chrztu Polski, Grudzień ’70, </w:t>
            </w:r>
          </w:p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działalność postaci: Władysława Gomułki, Edwarda Gierka</w:t>
            </w:r>
          </w:p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marzec 1968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1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7 grudnia 1970 r., </w:t>
            </w:r>
          </w:p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i bezpośrednie przyczyny wydarzeń Marca ’68</w:t>
            </w:r>
          </w:p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przedstawia, jak przebiegały obchody Tysiąclecia Państwa Polskiego i tysięcznej rocznicy chrztu Polski</w:t>
            </w:r>
          </w:p>
          <w:p w:rsidR="00D3639A" w:rsidRPr="00337F04" w:rsidRDefault="00D3639A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</w:t>
            </w:r>
            <w:r w:rsidR="00F524CA"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opozycja wewnątrzpartyjna, paryska „Kultura”, antysemityzm, „czarny czwartek”</w:t>
            </w:r>
          </w:p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Willy’ego Brandta, Antoniego Słonimskiego, Jacka Kuronia, Adama Michnika, </w:t>
            </w:r>
          </w:p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wymienia wydarzenia związane z datami: 15–17 grudnia 1970 r.</w:t>
            </w:r>
          </w:p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sytuację gospodarczą z lat 1956–1970</w:t>
            </w:r>
          </w:p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określa stosunek władz PRL do inteligencji i młodzieży studenckiej</w:t>
            </w:r>
          </w:p>
          <w:p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ocenia rolę Kościoła 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lastRenderedPageBreak/>
              <w:t>katolickiego w kształtowaniu oporu wobec władz PRL</w:t>
            </w:r>
          </w:p>
          <w:p w:rsidR="00D3639A" w:rsidRPr="00337F04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wyjaśnia genezę Grudnia ’70 oraz opisuje przebieg wydarzeń</w:t>
            </w:r>
          </w:p>
        </w:tc>
        <w:tc>
          <w:tcPr>
            <w:tcW w:w="2268" w:type="dxa"/>
            <w:gridSpan w:val="2"/>
          </w:tcPr>
          <w:p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plan Rapackiego, polska szkoła filmowa, dogmatycy, rewizjoniści, „Znak”, „komandosi”, list biskupów polskich do niemieckich, Marzec ’68, „bananowa młodzież”</w:t>
            </w:r>
          </w:p>
          <w:p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Jerzego Giedroycia, Zbigniewa Cybulskiego, Andrzeja Wajdy, Kazimierza Dejmka, kard. Stefana Wyszyńskiego, </w:t>
            </w:r>
          </w:p>
          <w:p w:rsidR="00F524CA" w:rsidRPr="00D92F55" w:rsidRDefault="00F524CA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wymienia </w:t>
            </w:r>
            <w:r w:rsidRPr="00F524CA">
              <w:rPr>
                <w:rFonts w:ascii="Cambria" w:eastAsia="Calibri" w:hAnsi="Cambria" w:cs="Arial"/>
                <w:bCs/>
                <w:color w:val="000000"/>
              </w:rPr>
              <w:lastRenderedPageBreak/>
              <w:t>wydarzenia związane z datami: listopad 1965 r., 1966 r., styczeń 1968 r., 7 grudnia 1970 r.</w:t>
            </w:r>
          </w:p>
          <w:p w:rsidR="00D3639A" w:rsidRPr="00337F04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ocenia zachowanie władz PRL i ZSRS w obliczu wydarzeń na Wybrzeżu w 1970 r.</w:t>
            </w:r>
          </w:p>
        </w:tc>
        <w:tc>
          <w:tcPr>
            <w:tcW w:w="1984" w:type="dxa"/>
          </w:tcPr>
          <w:p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lastRenderedPageBreak/>
              <w:t>– opisuje pierwsze reakcje i działania tworzącej się opozycji</w:t>
            </w:r>
          </w:p>
          <w:p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charakteryzuje przyczyny i narastanie konfliktu władz z Kościołem katolickim po umocnieniu się władzy Władysława Gomułki</w:t>
            </w:r>
          </w:p>
          <w:p w:rsidR="00E77900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opisuje najważniejsze wydarzenia procesu 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lastRenderedPageBreak/>
              <w:t>normalizacji relacji Polska–RFN</w:t>
            </w:r>
          </w:p>
          <w:p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ocenia rolę Kościoła </w:t>
            </w:r>
          </w:p>
          <w:p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katolickiego w kształtowaniu oporu wobec władz PRL</w:t>
            </w:r>
          </w:p>
          <w:p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8105E0" w:rsidRDefault="00963FC4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63FC4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</w:t>
            </w: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List 34,</w:t>
            </w:r>
          </w:p>
          <w:p w:rsidR="008105E0" w:rsidRDefault="008105E0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64F54">
              <w:rPr>
                <w:rFonts w:ascii="Cambria" w:eastAsia="Calibri" w:hAnsi="Cambria" w:cs="Arial"/>
                <w:bCs/>
                <w:color w:val="000000"/>
              </w:rPr>
              <w:t>– omawia działalność postaci: Jana Józefa Lipskiego, Karola Modzelewskiego, Adama Rapackiego, Piotra Jaroszewicza</w:t>
            </w:r>
          </w:p>
          <w:p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35AA4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B35AA4" w:rsidRPr="00337F04" w:rsidRDefault="00B35AA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6. Polska czasów Gierka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Zmiana na szczycie władzy</w:t>
            </w:r>
          </w:p>
          <w:p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Rozwój gospodarczy pod rządami Gierka</w:t>
            </w:r>
          </w:p>
          <w:p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kryzysu gospodarczego</w:t>
            </w:r>
          </w:p>
          <w:p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Strajki w czerwcu 1976 r.</w:t>
            </w:r>
          </w:p>
          <w:p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opozycji demokratycznej</w:t>
            </w:r>
          </w:p>
          <w:p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Relacje z Kościołem katolickim</w:t>
            </w:r>
          </w:p>
          <w:p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Pielgrzymka papieża do ojczyzny</w:t>
            </w:r>
          </w:p>
        </w:tc>
        <w:tc>
          <w:tcPr>
            <w:tcW w:w="2908" w:type="dxa"/>
            <w:gridSpan w:val="2"/>
          </w:tcPr>
          <w:p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stosuje pojęcia i wyjaśnia skróty: „maluch”, „Pewex”, , KOR, drugi obieg, wiza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Leonida Breżniewa, Edwarda Gierka, Jana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Pawła II, </w:t>
            </w:r>
          </w:p>
          <w:p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przedstawia prześladowania opozycji na przykładzie sprawy Stanisława Pyjasa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B35AA4" w:rsidRPr="00337F04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rolę pierwszej pielgrzymki papieża Jana Pawła II do Polski</w:t>
            </w:r>
          </w:p>
        </w:tc>
        <w:tc>
          <w:tcPr>
            <w:tcW w:w="2908" w:type="dxa"/>
            <w:gridSpan w:val="2"/>
          </w:tcPr>
          <w:p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stosuje pojęcia i wyjaśnia skróty: propaganda sukcesu, Czerwiec ’76, , ROPCiO, Wolne Związki Zawodowe, konklawe, </w:t>
            </w:r>
          </w:p>
          <w:p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wymienia wydarzenia związane z datami: czerwiec 1976 r., 16 października 1978 r., czerwiec 1979 r.</w:t>
            </w:r>
          </w:p>
          <w:p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działalność postaci: Stanisława Pyjasa</w:t>
            </w:r>
            <w:r w:rsidR="00895D36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895D36" w:rsidRPr="002C7B94">
              <w:rPr>
                <w:rFonts w:ascii="Cambria" w:eastAsia="Calibri" w:hAnsi="Cambria" w:cs="Arial"/>
                <w:bCs/>
                <w:color w:val="000000"/>
              </w:rPr>
              <w:t>Anny Walentynowicz,</w:t>
            </w:r>
          </w:p>
          <w:p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tłumaczy, jakie były przyczyny powstania masowej opozycji antykomunistycznej w latach 70. XX w.</w:t>
            </w:r>
          </w:p>
          <w:p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:rsidR="00B35AA4" w:rsidRPr="00337F04" w:rsidRDefault="00B35AA4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prezentuje okoliczności objęcia i umocnienia władzy Edwarda Gierka</w:t>
            </w:r>
          </w:p>
          <w:p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wyjaśnia genezę oraz skutki przemian gospodarczych w czasach rządów Edwarda Gierka </w:t>
            </w:r>
          </w:p>
          <w:p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</w:p>
          <w:p w:rsidR="00B35AA4" w:rsidRDefault="003B75DE" w:rsidP="00B35A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opisuje genezę, przebieg i skutki wydarzeń czerwcowych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>w 1976 r.</w:t>
            </w:r>
          </w:p>
          <w:p w:rsidR="002C7B94" w:rsidRPr="00337F04" w:rsidRDefault="002C7B9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C7B9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Jacka Kuronia, Leszka Moczulskiego, Andrzeja Gwiazdy, Antoniego Macierewicza, Jana Lityńskiego, Adama Michnika, , Aleksandra Halla, Bogdana </w:t>
            </w:r>
            <w:r w:rsidRPr="002C7B94">
              <w:rPr>
                <w:rFonts w:ascii="Cambria" w:eastAsia="Calibri" w:hAnsi="Cambria" w:cs="Arial"/>
                <w:bCs/>
                <w:color w:val="000000"/>
              </w:rPr>
              <w:lastRenderedPageBreak/>
              <w:t>Borusewicza,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omawia oraz wskazuje na mapie najważniejsze inwestycje gospodarcze z lat 1970–1980</w:t>
            </w:r>
          </w:p>
        </w:tc>
        <w:tc>
          <w:tcPr>
            <w:tcW w:w="1984" w:type="dxa"/>
          </w:tcPr>
          <w:p w:rsidR="00A137CE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wyjaśnia znaczenie terminów </w:t>
            </w:r>
          </w:p>
          <w:p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i skrótów: Uniwersytet Latający, Kluby Inteligencji Katolickiej, KPN, RMP,, Studencki Komitet „Solidarności”</w:t>
            </w:r>
          </w:p>
          <w:p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wydarzenia związane z latami: 1975 r.,1977 r.</w:t>
            </w:r>
          </w:p>
          <w:p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Piotra Jaroszewicza, Zbigniewa Romaszewskiego, Edwarda Lipińskiego, Adama Michnika, </w:t>
            </w:r>
          </w:p>
          <w:p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przytacza przykłady działań opozycyjnych w latach 70. XX w.</w:t>
            </w:r>
          </w:p>
          <w:p w:rsidR="00B35AA4" w:rsidRPr="00337F04" w:rsidRDefault="00411277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lastRenderedPageBreak/>
              <w:t>– wymienia osiągnięcia polskich sportowców w okresie rządów Gierka</w:t>
            </w:r>
          </w:p>
        </w:tc>
        <w:tc>
          <w:tcPr>
            <w:tcW w:w="2126" w:type="dxa"/>
            <w:gridSpan w:val="2"/>
          </w:tcPr>
          <w:p w:rsidR="008970DD" w:rsidRPr="00411277" w:rsidRDefault="00895D36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95D36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Kazimierza Świtonia, Zbigniewa Romaszewskiego, Edwarda Lipińskiego, Romualda Szeremietiewa, Aleksandra Halla, Bogdana Borusewicza, </w:t>
            </w:r>
            <w:r w:rsidR="00A73689" w:rsidRPr="00411277">
              <w:rPr>
                <w:rFonts w:ascii="Cambria" w:eastAsia="Calibri" w:hAnsi="Cambria" w:cs="Arial"/>
                <w:bCs/>
                <w:color w:val="000000"/>
              </w:rPr>
              <w:t>Kazimierza Wyszkowskiego, Leszka Moczulskiego, Wandy Rutkiewicz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porównuje podobieństwa i różnice polityki władz PRL w stosunku do Kościoła za rządów Gomułki </w:t>
            </w:r>
          </w:p>
          <w:p w:rsidR="008970DD" w:rsidRPr="00411277" w:rsidRDefault="008970DD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i Gierka</w:t>
            </w:r>
          </w:p>
          <w:p w:rsidR="00B35AA4" w:rsidRPr="00337F04" w:rsidRDefault="00B35AA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28082A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28082A" w:rsidRPr="00337F04" w:rsidRDefault="0028082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7. Narodziny „Solidarności”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sierpniowe</w:t>
            </w:r>
          </w:p>
          <w:p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Porozumienia sierpniowe</w:t>
            </w:r>
          </w:p>
          <w:p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„Karnawał »Solidarności«”</w:t>
            </w:r>
          </w:p>
          <w:p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władz wobec „Solidarności”</w:t>
            </w:r>
          </w:p>
          <w:p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międzynarodowa</w:t>
            </w:r>
          </w:p>
          <w:p w:rsidR="0028082A" w:rsidRPr="00337F04" w:rsidRDefault="0028082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porozumienia sierpniowe, 21 postulatów, strajk solidarnościowy, </w:t>
            </w:r>
          </w:p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Jana Pawła II, </w:t>
            </w:r>
          </w:p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tłumaczy genezę wydarzeń sierpniowych w 1980 r., </w:t>
            </w:r>
          </w:p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wyjaśnia, na czym polegał fenomen popularności „Solidarności”</w:t>
            </w:r>
          </w:p>
          <w:p w:rsidR="0028082A" w:rsidRPr="00337F04" w:rsidRDefault="0028082A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NSZZ „Solidarność”, „karnawał »Solidarności«” </w:t>
            </w:r>
          </w:p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Michaiła Gorbaczowa, </w:t>
            </w:r>
          </w:p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Anny Walentynowicz, Jerzego Popiełuszki, Czesława Miłosza</w:t>
            </w:r>
          </w:p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podaje daty podpisania porozumień w Szczecinie, Gdańsku i Jastrzębiu-Zdroju</w:t>
            </w:r>
          </w:p>
          <w:p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:rsidR="0028082A" w:rsidRPr="00337F04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przedstawia ewolucję postawy władz komunistycznych do opozycji solidarnościowej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C6342">
              <w:rPr>
                <w:rFonts w:ascii="Cambria" w:eastAsia="Times" w:hAnsi="Cambria" w:cs="Arial"/>
                <w:bCs/>
                <w:color w:val="000000"/>
              </w:rPr>
              <w:t>w latach 1980–1981</w:t>
            </w:r>
          </w:p>
        </w:tc>
        <w:tc>
          <w:tcPr>
            <w:tcW w:w="2268" w:type="dxa"/>
            <w:gridSpan w:val="2"/>
          </w:tcPr>
          <w:p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Ryszarda Kuklińskiego, Adama Michnika, Bronisława Geremka, Lecha Kaczyńskiego, Andrzeja Gwiazdy, Tadeusza Mazowieckiego</w:t>
            </w:r>
          </w:p>
          <w:p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17 września 1980 r., wrzesień–październik 1981 r. </w:t>
            </w:r>
          </w:p>
          <w:p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Mieczysława Rakowskiego, </w:t>
            </w:r>
          </w:p>
          <w:p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opisuje wpływ sytuacji międzynarodowej na działalność „Solidarności”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Polsce w latach 1980–1981</w:t>
            </w:r>
          </w:p>
          <w:p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28082A" w:rsidRPr="00337F04" w:rsidRDefault="00A54B7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przedstawia rolę płk. Ryszarda Kuklińskiego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w kształtowaniu polityki Zachodu wobec Polski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okresie 1980–1981</w:t>
            </w:r>
          </w:p>
        </w:tc>
      </w:tr>
      <w:tr w:rsidR="00A42239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42239" w:rsidRPr="00337F04" w:rsidRDefault="00A4223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8. Stan wojenny w Polsce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Wprowadzenie stanu wojennego w Polsce</w:t>
            </w:r>
          </w:p>
          <w:p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Podziemie polityczne 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okresie stanu wojennego</w:t>
            </w:r>
          </w:p>
          <w:p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stanu wojennego</w:t>
            </w:r>
          </w:p>
          <w:p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Sytuacja opozycji w stanie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wojennym</w:t>
            </w:r>
          </w:p>
          <w:p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gospodarcza</w:t>
            </w:r>
          </w:p>
          <w:p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Próby naprawy polskiej gospodarki</w:t>
            </w:r>
          </w:p>
          <w:p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jc w:val="both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Początekdialogu władzy z opozycją</w:t>
            </w:r>
          </w:p>
          <w:p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stan wojenny, Wojskowa Rada Ocalenia Narodowego, internowanie, </w:t>
            </w:r>
          </w:p>
          <w:p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13 grudnia 1981 r.</w:t>
            </w:r>
          </w:p>
          <w:p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omawia znaczenie pielgrzymek Jana Pawła II do Polski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42239" w:rsidRPr="00337F04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przedstawia sytuację gospodarczą lat 80. w PRL</w:t>
            </w:r>
          </w:p>
        </w:tc>
        <w:tc>
          <w:tcPr>
            <w:tcW w:w="2908" w:type="dxa"/>
            <w:gridSpan w:val="2"/>
          </w:tcPr>
          <w:p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OPZZ, internowanie, pacyfikacja kopalni „Wujek”</w:t>
            </w:r>
          </w:p>
          <w:p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Jerzego Popiełuszki, Tadeusza Mazowieckiego </w:t>
            </w:r>
          </w:p>
          <w:p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wymienia wydarzenia związane z datami: 1980 r., 1983 r. i 1987 r.</w:t>
            </w:r>
          </w:p>
          <w:p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i przebieg wprowadzenia 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charakteryzuje społeczne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polityczne skutki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42239" w:rsidRPr="00337F04" w:rsidRDefault="001018F2" w:rsidP="00BD1D4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w PRL, </w:t>
            </w:r>
          </w:p>
        </w:tc>
        <w:tc>
          <w:tcPr>
            <w:tcW w:w="2268" w:type="dxa"/>
            <w:gridSpan w:val="2"/>
          </w:tcPr>
          <w:p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wydarzenia bydgoskie, Pomarańczowa Alternatywa, </w:t>
            </w:r>
          </w:p>
          <w:p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– omawia działalność postaci</w:t>
            </w:r>
            <w:r w:rsidR="00C530F1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Czesława Kiszczaka, Ryszarda Kuklińskiego, Adama Michnika, Bronisława Geremka, Władysława </w:t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>Frasyniuka, Przemysława Gintrowskiego, Jacka Kaczmarskiego</w:t>
            </w:r>
          </w:p>
          <w:p w:rsidR="00C760D6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– wymienia wydarzenia związane z datami: 22 lipca 1983 r., 1983 r., 19 października 1984 r., 1988 r.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:rsidR="007A608F" w:rsidRPr="007A608F" w:rsidRDefault="00A137CE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5B68D2" w:rsidRPr="001018F2">
              <w:rPr>
                <w:rFonts w:ascii="Cambria" w:eastAsia="Times" w:hAnsi="Cambria" w:cs="Arial"/>
                <w:bCs/>
                <w:color w:val="000000"/>
              </w:rPr>
              <w:t>omawia plany reform gospodarczych podejmowanych przez władze komunistyczne</w:t>
            </w:r>
          </w:p>
          <w:p w:rsidR="00A42239" w:rsidRPr="00337F04" w:rsidRDefault="00A42239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A42239" w:rsidRDefault="005B68D2" w:rsidP="00A4223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68D2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</w:t>
            </w:r>
            <w:r w:rsidR="007D4DE8">
              <w:rPr>
                <w:rFonts w:ascii="Cambria" w:eastAsia="Calibri" w:hAnsi="Cambria" w:cs="Arial"/>
                <w:bCs/>
                <w:color w:val="000000"/>
              </w:rPr>
              <w:t>:</w:t>
            </w:r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spotkanie w Magdalence, Pomarańczowa Alternatywa, ustawa Wilczka</w:t>
            </w:r>
          </w:p>
          <w:p w:rsidR="00C530F1" w:rsidRPr="00C530F1" w:rsidRDefault="00C530F1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</w:t>
            </w:r>
            <w:r w:rsidRPr="00C530F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Czesława Kiszczaka, Ryszarda Kuklińskiego, Zbigniewa Messnera, Alfreda Miodowicza, Mieczysława Rakowskiego, Heleny Łuczywo, Waldemara Fydrycha, </w:t>
            </w:r>
          </w:p>
          <w:p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– opisuje przebieg wydarzeń polityczno-społecznych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w Polsce w latach 1981–1989 na tle sytuacji międzynarodowej</w:t>
            </w:r>
          </w:p>
          <w:p w:rsidR="007D4DE8" w:rsidRPr="00337F04" w:rsidRDefault="007D4DE8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rosnące różnice w stanowiskach działaczy „Solidarności” wobec władz komunistycznych </w:t>
            </w:r>
          </w:p>
          <w:p w:rsidR="00A42239" w:rsidRPr="00337F04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i planu porozumień politycznych w kraju w latach 1988–1989</w:t>
            </w:r>
          </w:p>
        </w:tc>
      </w:tr>
      <w:tr w:rsidR="00B82F11" w:rsidRPr="00337F04" w:rsidTr="00372F15">
        <w:trPr>
          <w:trHeight w:val="1266"/>
        </w:trPr>
        <w:tc>
          <w:tcPr>
            <w:tcW w:w="15593" w:type="dxa"/>
            <w:gridSpan w:val="11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</w:t>
            </w:r>
          </w:p>
          <w:p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upadku komunizmu</w:t>
            </w:r>
          </w:p>
          <w:p w:rsidR="00B82F11" w:rsidRPr="00337F04" w:rsidRDefault="00B82F1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E02E26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Kryzys bloku komunistycznego</w:t>
            </w:r>
          </w:p>
          <w:p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 w czasach Breżniewa</w:t>
            </w:r>
          </w:p>
          <w:p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w europejskich krajach socjalistycznych</w:t>
            </w:r>
          </w:p>
          <w:p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Reagana</w:t>
            </w:r>
          </w:p>
          <w:p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Afganistanie</w:t>
            </w:r>
          </w:p>
          <w:p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Kryzys władzy </w:t>
            </w:r>
            <w:r w:rsidR="00454446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 ZSRS</w:t>
            </w:r>
          </w:p>
          <w:p w:rsidR="00E02E26" w:rsidRPr="00337F04" w:rsidRDefault="00E02E26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program „gwiezdnych wojen”, pierestrojka,</w:t>
            </w:r>
          </w:p>
          <w:p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</w:t>
            </w:r>
          </w:p>
          <w:p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przedstawia przejawy kryzysu ZSRS w latach 80.</w:t>
            </w:r>
          </w:p>
          <w:p w:rsidR="00E02E26" w:rsidRPr="00337F04" w:rsidRDefault="00853CA2" w:rsidP="00853CA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prezentuje program reform Michaiła Gorbaczowa</w:t>
            </w:r>
          </w:p>
        </w:tc>
        <w:tc>
          <w:tcPr>
            <w:tcW w:w="2908" w:type="dxa"/>
            <w:gridSpan w:val="2"/>
          </w:tcPr>
          <w:p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stosuje pojęcia:głasnost, katastrofa czarnobylska, rakiety batalistyczne</w:t>
            </w:r>
          </w:p>
          <w:p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wymienia wydarzenia związane z datami: 1979 r., 1981–1989</w:t>
            </w:r>
          </w:p>
          <w:p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ZSRS w latach 80. </w:t>
            </w:r>
          </w:p>
          <w:p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prezentuje polityczne następstwa katastrofy czarnobylskiej</w:t>
            </w:r>
          </w:p>
          <w:p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– opowiada o reformach wewnętrznych ZSRS wprowadzonych przez Gorbaczowa (głasnost</w:t>
            </w:r>
            <w:r w:rsidR="00454446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t>i pieriestrojka)</w:t>
            </w:r>
          </w:p>
          <w:p w:rsidR="00E02E26" w:rsidRPr="00337F04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wyjaśnia rolę konfliktu afgańskiego w procesie słabnięcia ZSRS</w:t>
            </w:r>
          </w:p>
        </w:tc>
        <w:tc>
          <w:tcPr>
            <w:tcW w:w="2268" w:type="dxa"/>
            <w:gridSpan w:val="2"/>
          </w:tcPr>
          <w:p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pojęcia: mudżahedini, talibowie, układy Salt 1 i Salt 2</w:t>
            </w:r>
          </w:p>
          <w:p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omawia działalność postaci: Helmuta Kohla, Margaret Thatcher</w:t>
            </w:r>
          </w:p>
          <w:p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1985 r., </w:t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1986 r.</w:t>
            </w:r>
          </w:p>
          <w:p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omawia międzynarodowe skutki kryzysu władzy w ZSRS</w:t>
            </w:r>
          </w:p>
          <w:p w:rsidR="00E02E26" w:rsidRPr="00337F04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przedstawia rolę polityki zbrojeń USA </w:t>
            </w:r>
            <w:r w:rsidR="00454446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t>i projektu „wojen gwiezdnych” dla załamania potencjału zbrojeniowego ZSRS</w:t>
            </w:r>
          </w:p>
        </w:tc>
        <w:tc>
          <w:tcPr>
            <w:tcW w:w="1984" w:type="dxa"/>
          </w:tcPr>
          <w:p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pojęcia: mudżahedini, talibowie, układy Salt 1 i Salt 2</w:t>
            </w:r>
          </w:p>
          <w:p w:rsidR="0027611B" w:rsidRPr="0027611B" w:rsidRDefault="0027611B" w:rsidP="0033043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Jimmiego Cartera, Jurija Andropowa, Konstantina Czernienki, </w:t>
            </w:r>
          </w:p>
          <w:p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</w:t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międzynarodowe skutki kryzysu władzy w ZSRS</w:t>
            </w:r>
          </w:p>
          <w:p w:rsidR="00E02E26" w:rsidRPr="00337F04" w:rsidRDefault="00E02E26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6B1D59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Jesień Narodów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transformacji</w:t>
            </w:r>
          </w:p>
          <w:p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Aksamitna rewolucja</w:t>
            </w:r>
          </w:p>
          <w:p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Krwawy koniec reżimu </w:t>
            </w:r>
            <w:r w:rsidRPr="00337F04">
              <w:rPr>
                <w:rFonts w:ascii="Cambria" w:hAnsi="Cambria" w:cs="Arial"/>
                <w:bCs/>
              </w:rPr>
              <w:t>Ceauşescu w Rumunii</w:t>
            </w:r>
          </w:p>
          <w:p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Upadek muru berlińskiego</w:t>
            </w:r>
          </w:p>
          <w:p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Zjednoczenie Niemiec</w:t>
            </w:r>
          </w:p>
          <w:p w:rsidR="006B1D59" w:rsidRPr="00337F04" w:rsidRDefault="006B1D5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Jesień Narodów, upadek muru berlińskiego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 </w:t>
            </w:r>
          </w:p>
          <w:p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908" w:type="dxa"/>
            <w:gridSpan w:val="2"/>
          </w:tcPr>
          <w:p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aksamitna rewolucja, „aksamitny rozwód”, masakra na placu Tiananmen</w:t>
            </w:r>
          </w:p>
          <w:p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omawia działalność postaci: Václava Havla, Helmuta Kohla, NikolaeCeauşescu</w:t>
            </w:r>
          </w:p>
          <w:p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25 grudnia 1989 r., 9 listopada 1989 r.–3 października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B6F0F">
              <w:rPr>
                <w:rFonts w:ascii="Cambria" w:eastAsia="Times" w:hAnsi="Cambria" w:cs="Arial"/>
                <w:bCs/>
                <w:color w:val="000000"/>
              </w:rPr>
              <w:t>1990 r.</w:t>
            </w:r>
          </w:p>
          <w:p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268" w:type="dxa"/>
            <w:gridSpan w:val="2"/>
          </w:tcPr>
          <w:p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wymienia wydarzenia związane z datami: 1 stycznia 1993 r., 22 maja 1988 r., 29 grudnia 1989 r., czerwiec 1990 r.</w:t>
            </w:r>
          </w:p>
          <w:p w:rsid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ocenia wpływ przemian politycznych w Polsce na proces rozpadu komunizmu w Europie</w:t>
            </w:r>
          </w:p>
          <w:p w:rsidR="006B1D59" w:rsidRPr="00337F04" w:rsidRDefault="0035661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 xml:space="preserve">omawia przyczyny upadku komunizmu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>w Europie w latach 1989–1991</w:t>
            </w:r>
          </w:p>
        </w:tc>
        <w:tc>
          <w:tcPr>
            <w:tcW w:w="1984" w:type="dxa"/>
          </w:tcPr>
          <w:p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stosuje pojęcia: Węgierskie Forum Demokratyczne, Trójkątny Stół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porównuje burzliwy przebieg upadku reżimu komunistycznego w Rumunii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i Albanii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z pokojowymi przemianami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w Czechosłowacji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na Węgrzech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6B1D59" w:rsidRPr="00337F04" w:rsidRDefault="00D95E50" w:rsidP="0035661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skutki rozpadu Czechosłowacji</w:t>
            </w:r>
          </w:p>
        </w:tc>
        <w:tc>
          <w:tcPr>
            <w:tcW w:w="2126" w:type="dxa"/>
            <w:gridSpan w:val="2"/>
          </w:tcPr>
          <w:p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charakteryzuje zmiany społeczne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gospodarcze w Chinach po śmierci Mao Zedonga z uwzględnieniem masakry na placu Tiananmen</w:t>
            </w:r>
          </w:p>
          <w:p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2223B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B2223B" w:rsidRPr="00337F04" w:rsidRDefault="00B2223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i pokój na przełomie wieków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ZSRS</w:t>
            </w:r>
          </w:p>
          <w:p w:rsid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Republiki postsowieckie</w:t>
            </w:r>
          </w:p>
          <w:p w:rsidR="00B2223B" w:rsidRP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w dawnym ZSRS</w:t>
            </w:r>
          </w:p>
          <w:p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Wojny czeczeńskie</w:t>
            </w:r>
          </w:p>
          <w:p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Wojna w dawnej Jugosławii</w:t>
            </w:r>
          </w:p>
          <w:p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 w Rwandzie</w:t>
            </w:r>
          </w:p>
        </w:tc>
        <w:tc>
          <w:tcPr>
            <w:tcW w:w="2908" w:type="dxa"/>
            <w:gridSpan w:val="2"/>
          </w:tcPr>
          <w:p w:rsidR="0041240E" w:rsidRPr="0041240E" w:rsidRDefault="00356619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41240E" w:rsidRPr="0041240E">
              <w:rPr>
                <w:rFonts w:ascii="Cambria" w:eastAsia="Times" w:hAnsi="Cambria" w:cs="Arial"/>
                <w:bCs/>
                <w:color w:val="000000"/>
              </w:rPr>
              <w:t>stosuje pojęcia: WNP, wojny czeczeńskie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Borysa Jelcyna, Alaksandra Łukaszenki </w:t>
            </w:r>
          </w:p>
          <w:p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zmiany polityczne na terenie Ukrainy i kształtowanie się silnej, </w:t>
            </w:r>
            <w:r w:rsidRPr="0041240E">
              <w:rPr>
                <w:rFonts w:ascii="Cambria" w:eastAsia="Times" w:hAnsi="Cambria" w:cs="Arial"/>
                <w:bCs/>
                <w:color w:val="000000"/>
              </w:rPr>
              <w:lastRenderedPageBreak/>
              <w:t>niezależnej od Rosji państwowości ukraińskiej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B2223B" w:rsidRPr="00337F04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wskazuje na mapie: Jugosławię, Serbię,  Słowenię, Chorwację, Bośnię i Hercegowinę, Macedonię, Czeczenię. Mołdawię</w:t>
            </w:r>
          </w:p>
        </w:tc>
        <w:tc>
          <w:tcPr>
            <w:tcW w:w="2908" w:type="dxa"/>
            <w:gridSpan w:val="2"/>
          </w:tcPr>
          <w:p w:rsidR="0043081D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 xml:space="preserve">stosuje pojęcia:pomarańczowa rewolucja, Euromajdan, </w:t>
            </w:r>
          </w:p>
          <w:p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omawia działalność postaci: Giennadija Janajewa, Dżohara Dudajewa,  </w:t>
            </w:r>
          </w:p>
          <w:p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wymienia wydarzenia związane z datami: </w:t>
            </w:r>
          </w:p>
          <w:p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>8 grudnia 1991 r., 26 grudnia 1991 r.</w:t>
            </w:r>
          </w:p>
          <w:p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charakteryzuje proces rozpadu ZSRS i określa jego następstwa</w:t>
            </w:r>
          </w:p>
          <w:p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przedstawia przebieg wojen czeczeńskich i ich rezultaty</w:t>
            </w:r>
          </w:p>
          <w:p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wskazuje na mapie: Czarnogórę, Kosowo, </w:t>
            </w:r>
          </w:p>
        </w:tc>
        <w:tc>
          <w:tcPr>
            <w:tcW w:w="2268" w:type="dxa"/>
            <w:gridSpan w:val="2"/>
          </w:tcPr>
          <w:p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działalność postaci: Stanisława Szuszkiewicza, Leonida Kuczmy, </w:t>
            </w:r>
          </w:p>
          <w:p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1988–1994, 1990, 1999, 2000,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2004, 11 marca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1990 r., </w:t>
            </w:r>
          </w:p>
          <w:p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>– c</w:t>
            </w:r>
            <w:r w:rsidR="00C26B40">
              <w:rPr>
                <w:rFonts w:ascii="Cambria" w:eastAsia="Times" w:hAnsi="Cambria" w:cs="Arial"/>
                <w:bCs/>
                <w:color w:val="000000"/>
              </w:rPr>
              <w:t>ha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rakteryzuje postanowienia umowy z Dayton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i układu paryskiego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>z 1995 r.</w:t>
            </w:r>
          </w:p>
          <w:p w:rsidR="00B2223B" w:rsidRPr="00356619" w:rsidRDefault="00787825" w:rsidP="00C402E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opisuje konflikty na terenie byłej Jugosławii i podaje ich wyniki</w:t>
            </w:r>
          </w:p>
        </w:tc>
        <w:tc>
          <w:tcPr>
            <w:tcW w:w="1984" w:type="dxa"/>
          </w:tcPr>
          <w:p w:rsidR="00C26B40" w:rsidRDefault="0043081D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 Achmada i Ramzana Kadyrowów, Slobodana Miloševicia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t xml:space="preserve">prezentuje zróżnicowane 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losy państw postsowieckich i próby stworzenia rosyjskiej strefy wpływów</w:t>
            </w:r>
          </w:p>
          <w:p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omawia genezę oraz przebieg konflikt pomiędzy Tutsi i Hutu </w:t>
            </w:r>
          </w:p>
          <w:p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– przedstawia przebieg konfliktu azersko-ormiańskiego o Górski Karabach</w:t>
            </w:r>
          </w:p>
          <w:p w:rsidR="00C26B40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przedstawia przyczyny i skutki terroryzmu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Czeczenów</w:t>
            </w:r>
          </w:p>
          <w:p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D31735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D31735" w:rsidRPr="00337F04" w:rsidRDefault="00D3173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Integracja europejska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Unii Europejskiej</w:t>
            </w:r>
          </w:p>
          <w:p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Instytucje Unii Europejskiej</w:t>
            </w:r>
          </w:p>
          <w:p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Strefa Schengen</w:t>
            </w:r>
          </w:p>
          <w:p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Wspólna waluta</w:t>
            </w:r>
          </w:p>
          <w:p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Rozszerzenie UE </w:t>
            </w:r>
            <w:r w:rsid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kraje Europy Środkowo-Wschodniej</w:t>
            </w:r>
          </w:p>
        </w:tc>
        <w:tc>
          <w:tcPr>
            <w:tcW w:w="2908" w:type="dxa"/>
            <w:gridSpan w:val="2"/>
          </w:tcPr>
          <w:p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stosuje pojęcia: Unia Europejska, układ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z Schengen, </w:t>
            </w:r>
          </w:p>
          <w:p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latami: 2004 r., </w:t>
            </w:r>
          </w:p>
          <w:p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podaje przyczyny integracji europejskiej</w:t>
            </w:r>
          </w:p>
          <w:p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przedstawia etapy tworzenia Unii Europejskiej</w:t>
            </w:r>
          </w:p>
          <w:p w:rsidR="00D31735" w:rsidRPr="00337F04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symbole UE</w:t>
            </w:r>
          </w:p>
        </w:tc>
        <w:tc>
          <w:tcPr>
            <w:tcW w:w="2908" w:type="dxa"/>
            <w:gridSpan w:val="2"/>
          </w:tcPr>
          <w:p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stosuje pojęcia: Komisja Europejska, Parlament Europejski, grupa helsińska</w:t>
            </w:r>
          </w:p>
          <w:p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wymienia wydarzenia związane z latami: 1993 r., 2020 r.</w:t>
            </w:r>
          </w:p>
          <w:p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wskazuje na mapie państwa należące do różnych wspólnot europejskich</w:t>
            </w:r>
          </w:p>
          <w:p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proces stopniowego rozszerzania UE</w:t>
            </w:r>
          </w:p>
          <w:p w:rsidR="00D31735" w:rsidRPr="00337F04" w:rsidRDefault="00353700" w:rsidP="0035661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charakteryzuje znaczenie układu z Schengen</w:t>
            </w:r>
          </w:p>
        </w:tc>
        <w:tc>
          <w:tcPr>
            <w:tcW w:w="2268" w:type="dxa"/>
            <w:gridSpan w:val="2"/>
          </w:tcPr>
          <w:p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– ocenia przyczyny </w:t>
            </w:r>
            <w:r w:rsidR="00356619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16974">
              <w:rPr>
                <w:rFonts w:ascii="Cambria" w:eastAsia="Calibri" w:hAnsi="Cambria" w:cs="Arial"/>
                <w:bCs/>
                <w:color w:val="000000"/>
              </w:rPr>
              <w:t>i znaczenie brexitu</w:t>
            </w:r>
          </w:p>
          <w:p w:rsidR="00D31735" w:rsidRPr="00337F0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podstawowe instytucje Unii Europejskiej</w:t>
            </w:r>
          </w:p>
        </w:tc>
        <w:tc>
          <w:tcPr>
            <w:tcW w:w="1984" w:type="dxa"/>
          </w:tcPr>
          <w:p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wydarzenia związane z datami: 26 marca 1995 r., 16 grudnia 1991 r., 8 kwietnia 1994 r., 16 kwietnia 2003 r.</w:t>
            </w:r>
          </w:p>
          <w:p w:rsidR="00D31735" w:rsidRPr="00337F04" w:rsidRDefault="00D31735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596067" w:rsidRPr="00F16974" w:rsidRDefault="00596067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charakteryzuje różne koncepcje integracji Unii Europejskiej: „Europa ojczyzn” i federacja</w:t>
            </w:r>
          </w:p>
          <w:p w:rsidR="00D31735" w:rsidRPr="00337F04" w:rsidRDefault="00D31735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Problemy współczesnego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Cyfryzacja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globalizacja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Wzrost poziomu życia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globalna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Zagrożenia ekologiczne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Świat nierówności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Ruchy fundamentalistyczne i terroryzm</w:t>
            </w:r>
          </w:p>
        </w:tc>
        <w:tc>
          <w:tcPr>
            <w:tcW w:w="2908" w:type="dxa"/>
            <w:gridSpan w:val="2"/>
          </w:tcPr>
          <w:p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internet, telefonia komórkowa, komercjalizacja, popkultura, Al-Kaida, Państwo Islamskie (ISIS),</w:t>
            </w:r>
          </w:p>
          <w:p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działalność postaci: George’a W. Busha, Osamy bin Ladena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wymienia wydarzenia związane z datami: 11 września 2001 r.,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wskazuje cechy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współczesnej kultury masowej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zagrożenia wynikające z działalności Państwa Islamskiego</w:t>
            </w:r>
          </w:p>
          <w:p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strike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i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amerykanizacja, „globalna wioska”, antyglobaliści, slumsy</w:t>
            </w:r>
          </w:p>
          <w:p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omawia znaczenie wydarzeń z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11 marca 2004 r.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i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7 lipca 2005 r.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zalety i wady nowych środków komunikacji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charakteryzuje zagrożenia współczesnego terroryzmu, 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ataki terrorystyczne na WTC, kolej w Madrycie i londyńskie metro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wymienia czynniki związane ze współczesną gospodarką światową, które negatywnie wpływają na stan środowiska naturalnego</w:t>
            </w:r>
            <w:bookmarkStart w:id="5" w:name="_GoBack"/>
            <w:bookmarkEnd w:id="5"/>
          </w:p>
        </w:tc>
        <w:tc>
          <w:tcPr>
            <w:tcW w:w="2268" w:type="dxa"/>
            <w:gridSpan w:val="2"/>
          </w:tcPr>
          <w:p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Anonymous, protokół z Kioto, slumsy, bogata Północ i biedne Południe, fundamentalizm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przedstawia główne społeczno-gospodarcze problemy współczesnego świata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prezentuje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zagrożenia ekologiczne współczesnego świata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ocenia rozwój kultury masowej, prezentując jej wady i zalety</w:t>
            </w:r>
          </w:p>
          <w:p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1984" w:type="dxa"/>
          </w:tcPr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>– przedstawia postulaty antyglobalistów i je ocenia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– omawia przebieg konfliktu na Bliskim Wschodzie po 2001 r. </w:t>
            </w:r>
          </w:p>
          <w:p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wpływ kapitału na politykę we współczesnym świecie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przedstawia udział Polaków w wojnie w Iraku i w Afganistanie</w:t>
            </w:r>
          </w:p>
        </w:tc>
      </w:tr>
      <w:tr w:rsidR="00AD0F3B" w:rsidRPr="00337F04" w:rsidTr="00372F15">
        <w:trPr>
          <w:trHeight w:val="1266"/>
        </w:trPr>
        <w:tc>
          <w:tcPr>
            <w:tcW w:w="15593" w:type="dxa"/>
            <w:gridSpan w:val="11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VI</w:t>
            </w:r>
          </w:p>
          <w:p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III Rzeczpospolita</w:t>
            </w:r>
          </w:p>
        </w:tc>
      </w:tr>
      <w:tr w:rsidR="00AD0F3B" w:rsidRPr="00337F04" w:rsidTr="001A5D4B">
        <w:trPr>
          <w:trHeight w:val="41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Okrągły Stół i wybory czerwcowe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Obrady Okrągłego Stołu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Wybory czerwcowe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1989 r. 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  <w:t>Wasz prezydent, nasz premier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obozu solidarnościowego</w:t>
            </w:r>
          </w:p>
          <w:p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stosuje pojęcia: Okrągły Stół, </w:t>
            </w:r>
          </w:p>
          <w:p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Lecha Wałęsy, </w:t>
            </w:r>
          </w:p>
          <w:p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podaje główne założenia porozumień Okrągłego Stołu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stosuje pojęcia: sejm kontraktowy, wybory czerwcowe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omawia działalność postaci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Tadeusza Mazowieckiego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5 kwietnia 1989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4 czerwca 1989 r.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dostrzega znaczenie powstania niezależnej prasy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:rsid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zna okoliczności objęcia stanowiska prezydenta przez Wojciecha Jaruzelskiego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prezentuje zasady i najważniejsze skutki wyborów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z 4 czerwca 1989 r.</w:t>
            </w:r>
          </w:p>
        </w:tc>
        <w:tc>
          <w:tcPr>
            <w:tcW w:w="1984" w:type="dxa"/>
          </w:tcPr>
          <w:p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omawia działalność postaci: Czesława Kiszczaka, Andrzeja Gwiazdy, Kornela Morawieckiego, Leszka Moczulskiego, Adama Michnika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przedstawia podział obozu solidarnościowego i różne oceny przemian z 1989 r.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Przemiany polityczne i ustrojowe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 Mazowieckiego i nowela grudniowa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MO i SB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obozu solidarnościowego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postkomunistyczne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Wycofanie wojsk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sowieckich z Polski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Konstytucja RP z 1997 r.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samorządowa i administracyjna</w:t>
            </w:r>
          </w:p>
          <w:p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stosuje pojęcia:  lustracja, dekomunizacja</w:t>
            </w:r>
          </w:p>
          <w:p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Mazowieckiego, Leszka Balcerowicza, Lecha Wałęsy, </w:t>
            </w:r>
          </w:p>
          <w:p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</w:p>
          <w:p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opisuje okoliczności wycofania wojsk sowieckich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lastRenderedPageBreak/>
              <w:t>z Polski</w:t>
            </w:r>
          </w:p>
        </w:tc>
        <w:tc>
          <w:tcPr>
            <w:tcW w:w="2908" w:type="dxa"/>
            <w:gridSpan w:val="2"/>
          </w:tcPr>
          <w:p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pojęcia: „wojna na górze”, </w:t>
            </w:r>
          </w:p>
          <w:p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omawia działalność postaci:Lecha Kaczyńskiego, Aleksandra Kwaśniewskiego</w:t>
            </w:r>
          </w:p>
          <w:p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grudnia 1990 r., 1991 r.,1992 r., 2 kwietnia 1997 r. </w:t>
            </w:r>
          </w:p>
          <w:p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przedstawia scenę polityczną III RP</w:t>
            </w:r>
          </w:p>
          <w:p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omawia przebieg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>i znaczenie reformy samorządowej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przedstawia reformę </w:t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lastRenderedPageBreak/>
              <w:t>administracyjną kraju z 1999</w:t>
            </w:r>
          </w:p>
        </w:tc>
        <w:tc>
          <w:tcPr>
            <w:tcW w:w="1984" w:type="dxa"/>
          </w:tcPr>
          <w:p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 i rozwija skróty: PC, BBWR, KPN, UOP, WSI, SDRP, SLD</w:t>
            </w:r>
          </w:p>
          <w:p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Czesława Kiszczaka, Floriana Siwickiego, Zbigniewa Bujaka, Jarosława </w:t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lastRenderedPageBreak/>
              <w:t>Kaczyńskiego, Leszka Millera, Waldemara Pawlaka, Ryszarda Kaczorowskiego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i ocenia zmiany w strukturach resortów siłowych</w:t>
            </w:r>
          </w:p>
          <w:p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opisuje proces transformacji polskiej lewicy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i przyczyny jej zwycięstwa wyborczego w latach 90. 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D0F3B" w:rsidRPr="00337F04" w:rsidRDefault="00AD0F3B" w:rsidP="00AD0F3B">
            <w:pPr>
              <w:spacing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Transformacja gospodarcza i społeczna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na skraju katastrofy gospodarczej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Plan Balcerowicza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Prywatyzacja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Społeczne skutki transformacji gospodarczej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Perspektywy po transformacji</w:t>
            </w:r>
          </w:p>
          <w:p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stosuje pojęcia: hiperinflacja, </w:t>
            </w:r>
          </w:p>
          <w:p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omawia działalność postaci: Leszka Balcerowicza</w:t>
            </w:r>
          </w:p>
          <w:p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zjawisko hiperinflacji i metody walki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z nią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stosuje pojęcia: reformy Balcerowicza, gospodarka wolnorynkowa, popiwek, bezrobocie strukturalne</w:t>
            </w:r>
          </w:p>
          <w:p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przedstawia założenia planu Balcerowicza</w:t>
            </w:r>
          </w:p>
          <w:p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pozytywne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i negatywne skutki transformacji społeczno-gospodarczej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>– stosuje pojęcia: gospodarka wielosektorowa, biedaszyby, denominacja</w:t>
            </w:r>
          </w:p>
          <w:p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umiejscawia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w czasie: reformy Balcerowicza, wprowadzenie denominacji 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omawia znaczenie prywatyzacji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i skutki reform społeczno-gospodarczych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wyjaśnia związek reform gospodarczych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z aferami gospodarczymi w latach 90. w Polsce</w:t>
            </w:r>
          </w:p>
        </w:tc>
      </w:tr>
      <w:tr w:rsidR="00AD0F3B" w:rsidRPr="00337F04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Polska w NATO i UE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Starania Polski o przystąpienie do NATO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wstępuje do NATO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Integracja z U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E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Skutki członkostwa Polski w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UE</w:t>
            </w:r>
          </w:p>
          <w:p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w strefie Schengen</w:t>
            </w:r>
          </w:p>
          <w:p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wyjaśnia wydarzenia związane z datami: 12 marca 1999 r., 1 maja 2004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2007 r. </w:t>
            </w:r>
          </w:p>
          <w:p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omawia proces przyjmowania Polski do struktur NATO oraz rolę w strukturach tej organizacji 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wymienia kraje wchodzące w skład Trójkąta Weimarskiego i Grupy Wyszehradzkiej</w:t>
            </w:r>
          </w:p>
        </w:tc>
        <w:tc>
          <w:tcPr>
            <w:tcW w:w="2908" w:type="dxa"/>
            <w:gridSpan w:val="2"/>
          </w:tcPr>
          <w:p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>omawia działalność postaci: Jerzego Buzka, Leszka Millera, Aleksandra Kwaśniewskiego</w:t>
            </w:r>
            <w:r>
              <w:rPr>
                <w:rFonts w:ascii="Cambria" w:eastAsia="Times" w:hAnsi="Cambria" w:cs="Arial"/>
                <w:bCs/>
                <w:color w:val="000000"/>
              </w:rPr>
              <w:t>, Bronisława Geremka,</w:t>
            </w:r>
          </w:p>
          <w:p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przedstawia proces rozpadu instytucji dawnego bloku wschodniego w Europie Środkowo-Wschodniej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stosuje pojęcia: Grupa Wyszehradzka, Trójkąt Weimarski, strefa Schengen, traktat akcesyjny, program dopłat bezpośrednich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2916">
              <w:rPr>
                <w:rFonts w:ascii="Cambria" w:eastAsia="Calibri" w:hAnsi="Cambria" w:cs="Arial"/>
                <w:bCs/>
                <w:color w:val="000000"/>
              </w:rPr>
              <w:t>– omawia znaczenie funkcjonowania Polski w ramach strefy Schengen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02916">
              <w:rPr>
                <w:rFonts w:ascii="Cambria" w:eastAsia="Calibri" w:hAnsi="Cambria" w:cs="Arial"/>
                <w:bCs/>
                <w:color w:val="000000"/>
              </w:rPr>
              <w:t>charakteryzuje pozytywne i negatywne skutki integracji Polski z UE</w:t>
            </w:r>
          </w:p>
          <w:p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</w:tbl>
    <w:p w:rsidR="00B82F11" w:rsidRPr="00337F04" w:rsidRDefault="00B82F11" w:rsidP="00B82F11">
      <w:pPr>
        <w:rPr>
          <w:rFonts w:ascii="Cambria" w:hAnsi="Cambria"/>
        </w:rPr>
      </w:pPr>
    </w:p>
    <w:sectPr w:rsidR="00B82F11" w:rsidRPr="00337F04" w:rsidSect="000D54F9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F6" w:rsidRDefault="00A304F6" w:rsidP="001873E7">
      <w:pPr>
        <w:spacing w:after="0" w:line="240" w:lineRule="auto"/>
      </w:pPr>
      <w:r>
        <w:separator/>
      </w:r>
    </w:p>
  </w:endnote>
  <w:endnote w:type="continuationSeparator" w:id="1">
    <w:p w:rsidR="00A304F6" w:rsidRDefault="00A304F6" w:rsidP="0018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890893"/>
      <w:docPartObj>
        <w:docPartGallery w:val="Page Numbers (Bottom of Page)"/>
        <w:docPartUnique/>
      </w:docPartObj>
    </w:sdtPr>
    <w:sdtContent>
      <w:p w:rsidR="00312762" w:rsidRDefault="0090475D">
        <w:pPr>
          <w:pStyle w:val="Stopka"/>
          <w:jc w:val="center"/>
        </w:pPr>
        <w:r>
          <w:fldChar w:fldCharType="begin"/>
        </w:r>
        <w:r w:rsidR="00312762">
          <w:instrText>PAGE   \* MERGEFORMAT</w:instrText>
        </w:r>
        <w:r>
          <w:fldChar w:fldCharType="separate"/>
        </w:r>
        <w:r w:rsidR="005C3598">
          <w:rPr>
            <w:noProof/>
          </w:rPr>
          <w:t>1</w:t>
        </w:r>
        <w:r>
          <w:fldChar w:fldCharType="end"/>
        </w:r>
      </w:p>
    </w:sdtContent>
  </w:sdt>
  <w:p w:rsidR="00312762" w:rsidRDefault="00312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F6" w:rsidRDefault="00A304F6" w:rsidP="001873E7">
      <w:pPr>
        <w:spacing w:after="0" w:line="240" w:lineRule="auto"/>
      </w:pPr>
      <w:r>
        <w:separator/>
      </w:r>
    </w:p>
  </w:footnote>
  <w:footnote w:type="continuationSeparator" w:id="1">
    <w:p w:rsidR="00A304F6" w:rsidRDefault="00A304F6" w:rsidP="0018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2B92092"/>
    <w:multiLevelType w:val="hybridMultilevel"/>
    <w:tmpl w:val="97EA51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D4D9B"/>
    <w:multiLevelType w:val="hybridMultilevel"/>
    <w:tmpl w:val="EA86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95416"/>
    <w:multiLevelType w:val="hybridMultilevel"/>
    <w:tmpl w:val="1248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0720B"/>
    <w:multiLevelType w:val="hybridMultilevel"/>
    <w:tmpl w:val="A3C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E34"/>
    <w:multiLevelType w:val="hybridMultilevel"/>
    <w:tmpl w:val="7DAA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737C8"/>
    <w:multiLevelType w:val="hybridMultilevel"/>
    <w:tmpl w:val="71A6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46926"/>
    <w:multiLevelType w:val="hybridMultilevel"/>
    <w:tmpl w:val="4E94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F3045"/>
    <w:multiLevelType w:val="hybridMultilevel"/>
    <w:tmpl w:val="F706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7316C"/>
    <w:multiLevelType w:val="hybridMultilevel"/>
    <w:tmpl w:val="5006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54EF7"/>
    <w:multiLevelType w:val="hybridMultilevel"/>
    <w:tmpl w:val="859E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F470C"/>
    <w:multiLevelType w:val="hybridMultilevel"/>
    <w:tmpl w:val="015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B0384"/>
    <w:multiLevelType w:val="hybridMultilevel"/>
    <w:tmpl w:val="F8C2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322446CD"/>
    <w:multiLevelType w:val="hybridMultilevel"/>
    <w:tmpl w:val="BD50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757"/>
    <w:multiLevelType w:val="hybridMultilevel"/>
    <w:tmpl w:val="7DF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F4035"/>
    <w:multiLevelType w:val="hybridMultilevel"/>
    <w:tmpl w:val="92D21C92"/>
    <w:lvl w:ilvl="0" w:tplc="1130BF7C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34928"/>
    <w:multiLevelType w:val="hybridMultilevel"/>
    <w:tmpl w:val="A33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62C30"/>
    <w:multiLevelType w:val="hybridMultilevel"/>
    <w:tmpl w:val="DA8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17214"/>
    <w:multiLevelType w:val="hybridMultilevel"/>
    <w:tmpl w:val="86D6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07CF5"/>
    <w:multiLevelType w:val="hybridMultilevel"/>
    <w:tmpl w:val="201C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65848"/>
    <w:multiLevelType w:val="hybridMultilevel"/>
    <w:tmpl w:val="A1E2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B4B21"/>
    <w:multiLevelType w:val="hybridMultilevel"/>
    <w:tmpl w:val="E46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C2A78"/>
    <w:multiLevelType w:val="hybridMultilevel"/>
    <w:tmpl w:val="2362ADD0"/>
    <w:lvl w:ilvl="0" w:tplc="29AC1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A1D6C"/>
    <w:multiLevelType w:val="hybridMultilevel"/>
    <w:tmpl w:val="E3F4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0459D"/>
    <w:multiLevelType w:val="hybridMultilevel"/>
    <w:tmpl w:val="D93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22591"/>
    <w:multiLevelType w:val="hybridMultilevel"/>
    <w:tmpl w:val="D0EA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13E11"/>
    <w:multiLevelType w:val="multilevel"/>
    <w:tmpl w:val="817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666AC"/>
    <w:multiLevelType w:val="hybridMultilevel"/>
    <w:tmpl w:val="4FB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90DE6"/>
    <w:multiLevelType w:val="hybridMultilevel"/>
    <w:tmpl w:val="D6C4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53B9C"/>
    <w:multiLevelType w:val="hybridMultilevel"/>
    <w:tmpl w:val="2BF0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F10B0"/>
    <w:multiLevelType w:val="hybridMultilevel"/>
    <w:tmpl w:val="CA30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D271A"/>
    <w:multiLevelType w:val="hybridMultilevel"/>
    <w:tmpl w:val="6EA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95252"/>
    <w:multiLevelType w:val="hybridMultilevel"/>
    <w:tmpl w:val="D00A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62E7E"/>
    <w:multiLevelType w:val="hybridMultilevel"/>
    <w:tmpl w:val="B7FC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A1587"/>
    <w:multiLevelType w:val="hybridMultilevel"/>
    <w:tmpl w:val="467A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C0A5E"/>
    <w:multiLevelType w:val="hybridMultilevel"/>
    <w:tmpl w:val="B68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11714"/>
    <w:multiLevelType w:val="hybridMultilevel"/>
    <w:tmpl w:val="C35E8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C555CB"/>
    <w:multiLevelType w:val="hybridMultilevel"/>
    <w:tmpl w:val="3170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A4DBB"/>
    <w:multiLevelType w:val="hybridMultilevel"/>
    <w:tmpl w:val="938A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F5A99"/>
    <w:multiLevelType w:val="hybridMultilevel"/>
    <w:tmpl w:val="F4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43605"/>
    <w:multiLevelType w:val="hybridMultilevel"/>
    <w:tmpl w:val="574A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D340D"/>
    <w:multiLevelType w:val="hybridMultilevel"/>
    <w:tmpl w:val="340A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864E4"/>
    <w:multiLevelType w:val="hybridMultilevel"/>
    <w:tmpl w:val="9C5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30"/>
  </w:num>
  <w:num w:numId="5">
    <w:abstractNumId w:val="22"/>
  </w:num>
  <w:num w:numId="6">
    <w:abstractNumId w:val="42"/>
  </w:num>
  <w:num w:numId="7">
    <w:abstractNumId w:val="46"/>
  </w:num>
  <w:num w:numId="8">
    <w:abstractNumId w:val="10"/>
  </w:num>
  <w:num w:numId="9">
    <w:abstractNumId w:val="5"/>
  </w:num>
  <w:num w:numId="10">
    <w:abstractNumId w:val="34"/>
  </w:num>
  <w:num w:numId="11">
    <w:abstractNumId w:val="43"/>
  </w:num>
  <w:num w:numId="12">
    <w:abstractNumId w:val="28"/>
  </w:num>
  <w:num w:numId="13">
    <w:abstractNumId w:val="20"/>
  </w:num>
  <w:num w:numId="14">
    <w:abstractNumId w:val="24"/>
  </w:num>
  <w:num w:numId="15">
    <w:abstractNumId w:val="21"/>
  </w:num>
  <w:num w:numId="16">
    <w:abstractNumId w:val="23"/>
  </w:num>
  <w:num w:numId="17">
    <w:abstractNumId w:val="41"/>
  </w:num>
  <w:num w:numId="18">
    <w:abstractNumId w:val="44"/>
  </w:num>
  <w:num w:numId="19">
    <w:abstractNumId w:val="33"/>
  </w:num>
  <w:num w:numId="20">
    <w:abstractNumId w:val="39"/>
  </w:num>
  <w:num w:numId="21">
    <w:abstractNumId w:val="13"/>
  </w:num>
  <w:num w:numId="22">
    <w:abstractNumId w:val="25"/>
  </w:num>
  <w:num w:numId="23">
    <w:abstractNumId w:val="37"/>
  </w:num>
  <w:num w:numId="24">
    <w:abstractNumId w:val="38"/>
  </w:num>
  <w:num w:numId="25">
    <w:abstractNumId w:val="14"/>
  </w:num>
  <w:num w:numId="26">
    <w:abstractNumId w:val="6"/>
  </w:num>
  <w:num w:numId="27">
    <w:abstractNumId w:val="7"/>
  </w:num>
  <w:num w:numId="28">
    <w:abstractNumId w:val="35"/>
  </w:num>
  <w:num w:numId="29">
    <w:abstractNumId w:val="11"/>
  </w:num>
  <w:num w:numId="30">
    <w:abstractNumId w:val="17"/>
  </w:num>
  <w:num w:numId="31">
    <w:abstractNumId w:val="9"/>
  </w:num>
  <w:num w:numId="32">
    <w:abstractNumId w:val="45"/>
  </w:num>
  <w:num w:numId="33">
    <w:abstractNumId w:val="36"/>
  </w:num>
  <w:num w:numId="34">
    <w:abstractNumId w:val="31"/>
  </w:num>
  <w:num w:numId="35">
    <w:abstractNumId w:val="16"/>
  </w:num>
  <w:num w:numId="36">
    <w:abstractNumId w:val="8"/>
  </w:num>
  <w:num w:numId="37">
    <w:abstractNumId w:val="29"/>
  </w:num>
  <w:num w:numId="38">
    <w:abstractNumId w:val="19"/>
  </w:num>
  <w:num w:numId="39">
    <w:abstractNumId w:val="32"/>
  </w:num>
  <w:num w:numId="40">
    <w:abstractNumId w:val="4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3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A5"/>
    <w:rsid w:val="0000086A"/>
    <w:rsid w:val="0000310C"/>
    <w:rsid w:val="00003A0A"/>
    <w:rsid w:val="00003B4C"/>
    <w:rsid w:val="00004DD0"/>
    <w:rsid w:val="00005BB5"/>
    <w:rsid w:val="00010D4B"/>
    <w:rsid w:val="00011CA9"/>
    <w:rsid w:val="00011FE6"/>
    <w:rsid w:val="00013E02"/>
    <w:rsid w:val="000170E3"/>
    <w:rsid w:val="00021BF8"/>
    <w:rsid w:val="00021F88"/>
    <w:rsid w:val="00025E56"/>
    <w:rsid w:val="000260A8"/>
    <w:rsid w:val="00026F7B"/>
    <w:rsid w:val="000271E6"/>
    <w:rsid w:val="0002761F"/>
    <w:rsid w:val="0003097B"/>
    <w:rsid w:val="00032737"/>
    <w:rsid w:val="000353BA"/>
    <w:rsid w:val="00035FC3"/>
    <w:rsid w:val="0004299D"/>
    <w:rsid w:val="00043FE9"/>
    <w:rsid w:val="000449A8"/>
    <w:rsid w:val="000452C0"/>
    <w:rsid w:val="00045B77"/>
    <w:rsid w:val="00046980"/>
    <w:rsid w:val="00046E84"/>
    <w:rsid w:val="000533A4"/>
    <w:rsid w:val="00054293"/>
    <w:rsid w:val="00057E26"/>
    <w:rsid w:val="00060AA1"/>
    <w:rsid w:val="00061776"/>
    <w:rsid w:val="00061DA5"/>
    <w:rsid w:val="00062210"/>
    <w:rsid w:val="000625A0"/>
    <w:rsid w:val="000629EE"/>
    <w:rsid w:val="00063005"/>
    <w:rsid w:val="00063B1F"/>
    <w:rsid w:val="00064222"/>
    <w:rsid w:val="00064E76"/>
    <w:rsid w:val="00065B33"/>
    <w:rsid w:val="000708B5"/>
    <w:rsid w:val="000724A7"/>
    <w:rsid w:val="00072D08"/>
    <w:rsid w:val="00075848"/>
    <w:rsid w:val="00076FAB"/>
    <w:rsid w:val="00080ED6"/>
    <w:rsid w:val="00082E7B"/>
    <w:rsid w:val="00084D89"/>
    <w:rsid w:val="00086AE7"/>
    <w:rsid w:val="0008753F"/>
    <w:rsid w:val="00092F0C"/>
    <w:rsid w:val="000941B4"/>
    <w:rsid w:val="0009664D"/>
    <w:rsid w:val="000A1C5B"/>
    <w:rsid w:val="000A1D7A"/>
    <w:rsid w:val="000A439A"/>
    <w:rsid w:val="000A5204"/>
    <w:rsid w:val="000B07D3"/>
    <w:rsid w:val="000B1000"/>
    <w:rsid w:val="000B1362"/>
    <w:rsid w:val="000B5062"/>
    <w:rsid w:val="000B5783"/>
    <w:rsid w:val="000C1A06"/>
    <w:rsid w:val="000C4106"/>
    <w:rsid w:val="000C4FD0"/>
    <w:rsid w:val="000C649F"/>
    <w:rsid w:val="000C70EE"/>
    <w:rsid w:val="000D1582"/>
    <w:rsid w:val="000D4B82"/>
    <w:rsid w:val="000D54F9"/>
    <w:rsid w:val="000D592D"/>
    <w:rsid w:val="000E0482"/>
    <w:rsid w:val="000E3758"/>
    <w:rsid w:val="000E5F41"/>
    <w:rsid w:val="000E6D4B"/>
    <w:rsid w:val="000F00C0"/>
    <w:rsid w:val="000F08FB"/>
    <w:rsid w:val="000F1C83"/>
    <w:rsid w:val="000F50D8"/>
    <w:rsid w:val="000F7F4B"/>
    <w:rsid w:val="00101457"/>
    <w:rsid w:val="001018F2"/>
    <w:rsid w:val="001029BE"/>
    <w:rsid w:val="00102B44"/>
    <w:rsid w:val="001033D2"/>
    <w:rsid w:val="00121D55"/>
    <w:rsid w:val="00122204"/>
    <w:rsid w:val="001228BA"/>
    <w:rsid w:val="00122F5F"/>
    <w:rsid w:val="001242A5"/>
    <w:rsid w:val="00126345"/>
    <w:rsid w:val="0012752C"/>
    <w:rsid w:val="001333CA"/>
    <w:rsid w:val="001347D0"/>
    <w:rsid w:val="001349C0"/>
    <w:rsid w:val="0014010B"/>
    <w:rsid w:val="001413C2"/>
    <w:rsid w:val="0014167D"/>
    <w:rsid w:val="001435EC"/>
    <w:rsid w:val="001442FA"/>
    <w:rsid w:val="001466EF"/>
    <w:rsid w:val="001509D0"/>
    <w:rsid w:val="00151338"/>
    <w:rsid w:val="001541B3"/>
    <w:rsid w:val="00155106"/>
    <w:rsid w:val="00155C11"/>
    <w:rsid w:val="00156463"/>
    <w:rsid w:val="001577FD"/>
    <w:rsid w:val="001600C0"/>
    <w:rsid w:val="00160D21"/>
    <w:rsid w:val="0016136E"/>
    <w:rsid w:val="00162CD0"/>
    <w:rsid w:val="00164525"/>
    <w:rsid w:val="0016592F"/>
    <w:rsid w:val="0016701D"/>
    <w:rsid w:val="0016775F"/>
    <w:rsid w:val="00172367"/>
    <w:rsid w:val="001758D3"/>
    <w:rsid w:val="0018300B"/>
    <w:rsid w:val="001873E7"/>
    <w:rsid w:val="00190191"/>
    <w:rsid w:val="00192CB7"/>
    <w:rsid w:val="001936EA"/>
    <w:rsid w:val="00193B34"/>
    <w:rsid w:val="00193ECA"/>
    <w:rsid w:val="001956B5"/>
    <w:rsid w:val="00197E8F"/>
    <w:rsid w:val="001A109C"/>
    <w:rsid w:val="001A15DE"/>
    <w:rsid w:val="001A316C"/>
    <w:rsid w:val="001A37CD"/>
    <w:rsid w:val="001A421A"/>
    <w:rsid w:val="001A47C7"/>
    <w:rsid w:val="001A486C"/>
    <w:rsid w:val="001A4E3F"/>
    <w:rsid w:val="001A5D4B"/>
    <w:rsid w:val="001C0B3A"/>
    <w:rsid w:val="001C312C"/>
    <w:rsid w:val="001C40BA"/>
    <w:rsid w:val="001C4C55"/>
    <w:rsid w:val="001C7BD7"/>
    <w:rsid w:val="001D673D"/>
    <w:rsid w:val="001D73BD"/>
    <w:rsid w:val="001D7861"/>
    <w:rsid w:val="001E1156"/>
    <w:rsid w:val="001E6246"/>
    <w:rsid w:val="001E6301"/>
    <w:rsid w:val="001F0C34"/>
    <w:rsid w:val="001F2D00"/>
    <w:rsid w:val="001F3E3B"/>
    <w:rsid w:val="001F3FD9"/>
    <w:rsid w:val="001F4844"/>
    <w:rsid w:val="001F5054"/>
    <w:rsid w:val="001F5E28"/>
    <w:rsid w:val="001F78AA"/>
    <w:rsid w:val="0020101A"/>
    <w:rsid w:val="00201F94"/>
    <w:rsid w:val="0020489B"/>
    <w:rsid w:val="0020685A"/>
    <w:rsid w:val="00207D25"/>
    <w:rsid w:val="00207DA3"/>
    <w:rsid w:val="00212AFE"/>
    <w:rsid w:val="002139E8"/>
    <w:rsid w:val="00216745"/>
    <w:rsid w:val="002168AE"/>
    <w:rsid w:val="00217EFA"/>
    <w:rsid w:val="00223AC1"/>
    <w:rsid w:val="00223D64"/>
    <w:rsid w:val="00225BB0"/>
    <w:rsid w:val="0023065D"/>
    <w:rsid w:val="00232325"/>
    <w:rsid w:val="00233372"/>
    <w:rsid w:val="00233E6F"/>
    <w:rsid w:val="002358DE"/>
    <w:rsid w:val="002416E3"/>
    <w:rsid w:val="00242E0C"/>
    <w:rsid w:val="00247AAD"/>
    <w:rsid w:val="00253334"/>
    <w:rsid w:val="0025371E"/>
    <w:rsid w:val="002538B5"/>
    <w:rsid w:val="00253A76"/>
    <w:rsid w:val="002542F8"/>
    <w:rsid w:val="00255E04"/>
    <w:rsid w:val="00256976"/>
    <w:rsid w:val="00265F9D"/>
    <w:rsid w:val="00266E3F"/>
    <w:rsid w:val="002708C9"/>
    <w:rsid w:val="0027266A"/>
    <w:rsid w:val="00272B5D"/>
    <w:rsid w:val="002747A3"/>
    <w:rsid w:val="00275439"/>
    <w:rsid w:val="0027611B"/>
    <w:rsid w:val="00276834"/>
    <w:rsid w:val="00276971"/>
    <w:rsid w:val="00277D7A"/>
    <w:rsid w:val="0028082A"/>
    <w:rsid w:val="00281231"/>
    <w:rsid w:val="00283A67"/>
    <w:rsid w:val="00292E5C"/>
    <w:rsid w:val="00293018"/>
    <w:rsid w:val="0029532F"/>
    <w:rsid w:val="00295C68"/>
    <w:rsid w:val="00295D1F"/>
    <w:rsid w:val="00296105"/>
    <w:rsid w:val="00297A86"/>
    <w:rsid w:val="002A0FAB"/>
    <w:rsid w:val="002A4B0C"/>
    <w:rsid w:val="002A5DA8"/>
    <w:rsid w:val="002B067D"/>
    <w:rsid w:val="002B15B1"/>
    <w:rsid w:val="002B1D2E"/>
    <w:rsid w:val="002B2364"/>
    <w:rsid w:val="002B45C2"/>
    <w:rsid w:val="002B5193"/>
    <w:rsid w:val="002B5690"/>
    <w:rsid w:val="002B5DC6"/>
    <w:rsid w:val="002B6ABA"/>
    <w:rsid w:val="002C0E64"/>
    <w:rsid w:val="002C0E92"/>
    <w:rsid w:val="002C1DC7"/>
    <w:rsid w:val="002C7B94"/>
    <w:rsid w:val="002D0C47"/>
    <w:rsid w:val="002D13D3"/>
    <w:rsid w:val="002D2743"/>
    <w:rsid w:val="002D3B89"/>
    <w:rsid w:val="002E3D3E"/>
    <w:rsid w:val="002E497B"/>
    <w:rsid w:val="002E4A75"/>
    <w:rsid w:val="002E4C53"/>
    <w:rsid w:val="002E5C9C"/>
    <w:rsid w:val="002E5CE3"/>
    <w:rsid w:val="002E7D89"/>
    <w:rsid w:val="002F21AD"/>
    <w:rsid w:val="002F28C0"/>
    <w:rsid w:val="002F29F2"/>
    <w:rsid w:val="002F2DFB"/>
    <w:rsid w:val="002F2E5F"/>
    <w:rsid w:val="002F7BF2"/>
    <w:rsid w:val="00303273"/>
    <w:rsid w:val="00305EE9"/>
    <w:rsid w:val="003074FC"/>
    <w:rsid w:val="0031005E"/>
    <w:rsid w:val="00312762"/>
    <w:rsid w:val="00312C7A"/>
    <w:rsid w:val="00312FA2"/>
    <w:rsid w:val="00316C4E"/>
    <w:rsid w:val="00320B1E"/>
    <w:rsid w:val="00323281"/>
    <w:rsid w:val="0032338F"/>
    <w:rsid w:val="0032614D"/>
    <w:rsid w:val="0033043C"/>
    <w:rsid w:val="00330532"/>
    <w:rsid w:val="00330B1D"/>
    <w:rsid w:val="00334CDD"/>
    <w:rsid w:val="003379A0"/>
    <w:rsid w:val="00337F04"/>
    <w:rsid w:val="0034301C"/>
    <w:rsid w:val="00344FFD"/>
    <w:rsid w:val="003506E9"/>
    <w:rsid w:val="00351889"/>
    <w:rsid w:val="00351F47"/>
    <w:rsid w:val="003534BB"/>
    <w:rsid w:val="00353700"/>
    <w:rsid w:val="00356619"/>
    <w:rsid w:val="003577DC"/>
    <w:rsid w:val="00364738"/>
    <w:rsid w:val="00366C3E"/>
    <w:rsid w:val="00367B5B"/>
    <w:rsid w:val="00372F15"/>
    <w:rsid w:val="00373457"/>
    <w:rsid w:val="00374AC5"/>
    <w:rsid w:val="0038189E"/>
    <w:rsid w:val="003833A9"/>
    <w:rsid w:val="0038367A"/>
    <w:rsid w:val="00384CAD"/>
    <w:rsid w:val="00385E3D"/>
    <w:rsid w:val="003866D5"/>
    <w:rsid w:val="00393FAF"/>
    <w:rsid w:val="00394969"/>
    <w:rsid w:val="00396815"/>
    <w:rsid w:val="00396DD4"/>
    <w:rsid w:val="003A160E"/>
    <w:rsid w:val="003A1A3C"/>
    <w:rsid w:val="003A4B53"/>
    <w:rsid w:val="003A51F7"/>
    <w:rsid w:val="003B0AF9"/>
    <w:rsid w:val="003B2EB2"/>
    <w:rsid w:val="003B4FFA"/>
    <w:rsid w:val="003B592F"/>
    <w:rsid w:val="003B75DE"/>
    <w:rsid w:val="003D04F4"/>
    <w:rsid w:val="003D20C4"/>
    <w:rsid w:val="003D380A"/>
    <w:rsid w:val="003E0547"/>
    <w:rsid w:val="003E6E44"/>
    <w:rsid w:val="003F0A33"/>
    <w:rsid w:val="003F2525"/>
    <w:rsid w:val="003F4351"/>
    <w:rsid w:val="003F461C"/>
    <w:rsid w:val="003F71D2"/>
    <w:rsid w:val="0040212B"/>
    <w:rsid w:val="004024B6"/>
    <w:rsid w:val="00403AB0"/>
    <w:rsid w:val="0040666E"/>
    <w:rsid w:val="00410A0C"/>
    <w:rsid w:val="00411277"/>
    <w:rsid w:val="0041240E"/>
    <w:rsid w:val="00415600"/>
    <w:rsid w:val="00421E7E"/>
    <w:rsid w:val="004226AA"/>
    <w:rsid w:val="00422FD7"/>
    <w:rsid w:val="004230C6"/>
    <w:rsid w:val="004232B6"/>
    <w:rsid w:val="00425838"/>
    <w:rsid w:val="0043081D"/>
    <w:rsid w:val="00433374"/>
    <w:rsid w:val="004346DC"/>
    <w:rsid w:val="00435EB7"/>
    <w:rsid w:val="004402E5"/>
    <w:rsid w:val="00443318"/>
    <w:rsid w:val="004501EF"/>
    <w:rsid w:val="004506E1"/>
    <w:rsid w:val="00451DEE"/>
    <w:rsid w:val="00454446"/>
    <w:rsid w:val="0045493E"/>
    <w:rsid w:val="00454C1A"/>
    <w:rsid w:val="00460CF8"/>
    <w:rsid w:val="004612BF"/>
    <w:rsid w:val="0046480B"/>
    <w:rsid w:val="00465700"/>
    <w:rsid w:val="00471943"/>
    <w:rsid w:val="00472174"/>
    <w:rsid w:val="004722BF"/>
    <w:rsid w:val="00474F7A"/>
    <w:rsid w:val="0047632C"/>
    <w:rsid w:val="0048077E"/>
    <w:rsid w:val="004808E0"/>
    <w:rsid w:val="00480C54"/>
    <w:rsid w:val="00480CD3"/>
    <w:rsid w:val="004825D0"/>
    <w:rsid w:val="004833D8"/>
    <w:rsid w:val="004835EB"/>
    <w:rsid w:val="00484E3E"/>
    <w:rsid w:val="004859BB"/>
    <w:rsid w:val="0048657F"/>
    <w:rsid w:val="004866B6"/>
    <w:rsid w:val="00486C6B"/>
    <w:rsid w:val="00487F8D"/>
    <w:rsid w:val="004902AC"/>
    <w:rsid w:val="00492660"/>
    <w:rsid w:val="00492997"/>
    <w:rsid w:val="00493620"/>
    <w:rsid w:val="00496FA3"/>
    <w:rsid w:val="004A1A17"/>
    <w:rsid w:val="004A535B"/>
    <w:rsid w:val="004A5B3F"/>
    <w:rsid w:val="004A6ED7"/>
    <w:rsid w:val="004A781A"/>
    <w:rsid w:val="004B0B47"/>
    <w:rsid w:val="004B1444"/>
    <w:rsid w:val="004B5094"/>
    <w:rsid w:val="004B6830"/>
    <w:rsid w:val="004B6CA3"/>
    <w:rsid w:val="004C0CA4"/>
    <w:rsid w:val="004C1223"/>
    <w:rsid w:val="004C16EB"/>
    <w:rsid w:val="004C28B4"/>
    <w:rsid w:val="004C375C"/>
    <w:rsid w:val="004C3835"/>
    <w:rsid w:val="004C47EB"/>
    <w:rsid w:val="004C6612"/>
    <w:rsid w:val="004C70B7"/>
    <w:rsid w:val="004D019F"/>
    <w:rsid w:val="004D06C1"/>
    <w:rsid w:val="004D1246"/>
    <w:rsid w:val="004E13D2"/>
    <w:rsid w:val="004E15A9"/>
    <w:rsid w:val="004E37CD"/>
    <w:rsid w:val="004E6488"/>
    <w:rsid w:val="004E6616"/>
    <w:rsid w:val="004E77CC"/>
    <w:rsid w:val="004F39D2"/>
    <w:rsid w:val="004F6566"/>
    <w:rsid w:val="005028B4"/>
    <w:rsid w:val="00507570"/>
    <w:rsid w:val="005075A7"/>
    <w:rsid w:val="005113AE"/>
    <w:rsid w:val="00511A00"/>
    <w:rsid w:val="00512B07"/>
    <w:rsid w:val="00513D5D"/>
    <w:rsid w:val="00514868"/>
    <w:rsid w:val="00515E2D"/>
    <w:rsid w:val="0052058F"/>
    <w:rsid w:val="0052480E"/>
    <w:rsid w:val="00534A0B"/>
    <w:rsid w:val="00535157"/>
    <w:rsid w:val="00535454"/>
    <w:rsid w:val="00540182"/>
    <w:rsid w:val="005410CD"/>
    <w:rsid w:val="00541EF8"/>
    <w:rsid w:val="005440D4"/>
    <w:rsid w:val="005443C5"/>
    <w:rsid w:val="00547C34"/>
    <w:rsid w:val="0055604F"/>
    <w:rsid w:val="005569FD"/>
    <w:rsid w:val="00556EBB"/>
    <w:rsid w:val="0056307D"/>
    <w:rsid w:val="00565438"/>
    <w:rsid w:val="00565924"/>
    <w:rsid w:val="00571DAD"/>
    <w:rsid w:val="00573638"/>
    <w:rsid w:val="005739E8"/>
    <w:rsid w:val="00573C04"/>
    <w:rsid w:val="005779B7"/>
    <w:rsid w:val="005819A1"/>
    <w:rsid w:val="005844FE"/>
    <w:rsid w:val="00584639"/>
    <w:rsid w:val="00587043"/>
    <w:rsid w:val="0059225B"/>
    <w:rsid w:val="00596067"/>
    <w:rsid w:val="005A0B47"/>
    <w:rsid w:val="005A17C9"/>
    <w:rsid w:val="005A585E"/>
    <w:rsid w:val="005A7561"/>
    <w:rsid w:val="005B19D7"/>
    <w:rsid w:val="005B1BB5"/>
    <w:rsid w:val="005B2CF5"/>
    <w:rsid w:val="005B5647"/>
    <w:rsid w:val="005B5CE1"/>
    <w:rsid w:val="005B5F3F"/>
    <w:rsid w:val="005B68D2"/>
    <w:rsid w:val="005B7F1D"/>
    <w:rsid w:val="005C0890"/>
    <w:rsid w:val="005C16B3"/>
    <w:rsid w:val="005C3598"/>
    <w:rsid w:val="005C4BD6"/>
    <w:rsid w:val="005C6485"/>
    <w:rsid w:val="005C678D"/>
    <w:rsid w:val="005D2501"/>
    <w:rsid w:val="005D6F91"/>
    <w:rsid w:val="005E16F0"/>
    <w:rsid w:val="005E24B9"/>
    <w:rsid w:val="005F13C0"/>
    <w:rsid w:val="005F4146"/>
    <w:rsid w:val="005F581C"/>
    <w:rsid w:val="006016ED"/>
    <w:rsid w:val="00607AFA"/>
    <w:rsid w:val="00612C7E"/>
    <w:rsid w:val="00621817"/>
    <w:rsid w:val="006248AD"/>
    <w:rsid w:val="00626886"/>
    <w:rsid w:val="00631144"/>
    <w:rsid w:val="00631CBA"/>
    <w:rsid w:val="0063288B"/>
    <w:rsid w:val="00635352"/>
    <w:rsid w:val="006358A5"/>
    <w:rsid w:val="00635955"/>
    <w:rsid w:val="00637C6E"/>
    <w:rsid w:val="00641A66"/>
    <w:rsid w:val="00642391"/>
    <w:rsid w:val="0064643A"/>
    <w:rsid w:val="0064691A"/>
    <w:rsid w:val="00646F20"/>
    <w:rsid w:val="00647EBD"/>
    <w:rsid w:val="00650E18"/>
    <w:rsid w:val="006527FC"/>
    <w:rsid w:val="006529E7"/>
    <w:rsid w:val="0065462B"/>
    <w:rsid w:val="00654710"/>
    <w:rsid w:val="0065526E"/>
    <w:rsid w:val="00660BDE"/>
    <w:rsid w:val="00661BAB"/>
    <w:rsid w:val="00666519"/>
    <w:rsid w:val="006667E7"/>
    <w:rsid w:val="0066722D"/>
    <w:rsid w:val="006673E3"/>
    <w:rsid w:val="00667B54"/>
    <w:rsid w:val="00672855"/>
    <w:rsid w:val="00673EF8"/>
    <w:rsid w:val="00674B3F"/>
    <w:rsid w:val="00675451"/>
    <w:rsid w:val="00675777"/>
    <w:rsid w:val="00676B77"/>
    <w:rsid w:val="0067721C"/>
    <w:rsid w:val="00677959"/>
    <w:rsid w:val="00681DD8"/>
    <w:rsid w:val="00684567"/>
    <w:rsid w:val="0068513B"/>
    <w:rsid w:val="006875A8"/>
    <w:rsid w:val="0069298D"/>
    <w:rsid w:val="006932DE"/>
    <w:rsid w:val="00696F97"/>
    <w:rsid w:val="006A0882"/>
    <w:rsid w:val="006A1817"/>
    <w:rsid w:val="006A1D59"/>
    <w:rsid w:val="006A5A87"/>
    <w:rsid w:val="006A79BC"/>
    <w:rsid w:val="006B1D59"/>
    <w:rsid w:val="006B3127"/>
    <w:rsid w:val="006B5414"/>
    <w:rsid w:val="006B6EA6"/>
    <w:rsid w:val="006C02B6"/>
    <w:rsid w:val="006C03E5"/>
    <w:rsid w:val="006C5C3A"/>
    <w:rsid w:val="006C5F91"/>
    <w:rsid w:val="006C6342"/>
    <w:rsid w:val="006C735C"/>
    <w:rsid w:val="006D4A4D"/>
    <w:rsid w:val="006D516D"/>
    <w:rsid w:val="006D6077"/>
    <w:rsid w:val="006D6556"/>
    <w:rsid w:val="006D68D9"/>
    <w:rsid w:val="006D6D91"/>
    <w:rsid w:val="006D7C97"/>
    <w:rsid w:val="006E17F8"/>
    <w:rsid w:val="006E4572"/>
    <w:rsid w:val="006E4774"/>
    <w:rsid w:val="006F22F9"/>
    <w:rsid w:val="00700823"/>
    <w:rsid w:val="007016A1"/>
    <w:rsid w:val="00704273"/>
    <w:rsid w:val="00707924"/>
    <w:rsid w:val="00707A9C"/>
    <w:rsid w:val="00707F8F"/>
    <w:rsid w:val="00716DBB"/>
    <w:rsid w:val="00717CFD"/>
    <w:rsid w:val="00720C12"/>
    <w:rsid w:val="007237F9"/>
    <w:rsid w:val="00725776"/>
    <w:rsid w:val="007274C2"/>
    <w:rsid w:val="007310F3"/>
    <w:rsid w:val="00732114"/>
    <w:rsid w:val="007324A7"/>
    <w:rsid w:val="00732761"/>
    <w:rsid w:val="00732CA9"/>
    <w:rsid w:val="00734F5B"/>
    <w:rsid w:val="0074603F"/>
    <w:rsid w:val="0074678D"/>
    <w:rsid w:val="00747D45"/>
    <w:rsid w:val="0075048D"/>
    <w:rsid w:val="00753A9D"/>
    <w:rsid w:val="00754628"/>
    <w:rsid w:val="00757C16"/>
    <w:rsid w:val="0076211D"/>
    <w:rsid w:val="00762FCF"/>
    <w:rsid w:val="00764A26"/>
    <w:rsid w:val="00764F54"/>
    <w:rsid w:val="00766408"/>
    <w:rsid w:val="00772467"/>
    <w:rsid w:val="0077315A"/>
    <w:rsid w:val="00776281"/>
    <w:rsid w:val="007822C1"/>
    <w:rsid w:val="007842A5"/>
    <w:rsid w:val="00784C32"/>
    <w:rsid w:val="007861C2"/>
    <w:rsid w:val="00787825"/>
    <w:rsid w:val="00787F68"/>
    <w:rsid w:val="00790C50"/>
    <w:rsid w:val="00791634"/>
    <w:rsid w:val="007946A8"/>
    <w:rsid w:val="00795155"/>
    <w:rsid w:val="00795FBA"/>
    <w:rsid w:val="00797E52"/>
    <w:rsid w:val="007A0C17"/>
    <w:rsid w:val="007A0FA7"/>
    <w:rsid w:val="007A56BA"/>
    <w:rsid w:val="007A608F"/>
    <w:rsid w:val="007A62DF"/>
    <w:rsid w:val="007A6C04"/>
    <w:rsid w:val="007B008B"/>
    <w:rsid w:val="007B08D2"/>
    <w:rsid w:val="007B281A"/>
    <w:rsid w:val="007B44CC"/>
    <w:rsid w:val="007B6F0F"/>
    <w:rsid w:val="007C2371"/>
    <w:rsid w:val="007D0AE1"/>
    <w:rsid w:val="007D2911"/>
    <w:rsid w:val="007D3DB9"/>
    <w:rsid w:val="007D4DE8"/>
    <w:rsid w:val="007E1304"/>
    <w:rsid w:val="007E24C8"/>
    <w:rsid w:val="007E27D5"/>
    <w:rsid w:val="007E55E2"/>
    <w:rsid w:val="007F4047"/>
    <w:rsid w:val="007F4BBD"/>
    <w:rsid w:val="00800E98"/>
    <w:rsid w:val="008029AD"/>
    <w:rsid w:val="00802E5E"/>
    <w:rsid w:val="00803751"/>
    <w:rsid w:val="00803A42"/>
    <w:rsid w:val="00805D3C"/>
    <w:rsid w:val="00806594"/>
    <w:rsid w:val="008105E0"/>
    <w:rsid w:val="00815097"/>
    <w:rsid w:val="00816F6E"/>
    <w:rsid w:val="00820391"/>
    <w:rsid w:val="008230E8"/>
    <w:rsid w:val="0082339F"/>
    <w:rsid w:val="00825466"/>
    <w:rsid w:val="008254A5"/>
    <w:rsid w:val="0082555C"/>
    <w:rsid w:val="00825CD3"/>
    <w:rsid w:val="0083121C"/>
    <w:rsid w:val="008336CB"/>
    <w:rsid w:val="00834591"/>
    <w:rsid w:val="00834777"/>
    <w:rsid w:val="00841F3E"/>
    <w:rsid w:val="00842E5C"/>
    <w:rsid w:val="00845664"/>
    <w:rsid w:val="00847F59"/>
    <w:rsid w:val="00850161"/>
    <w:rsid w:val="008529F7"/>
    <w:rsid w:val="008533EE"/>
    <w:rsid w:val="00853CA2"/>
    <w:rsid w:val="00854402"/>
    <w:rsid w:val="00860B14"/>
    <w:rsid w:val="00864C89"/>
    <w:rsid w:val="008652D6"/>
    <w:rsid w:val="008656DC"/>
    <w:rsid w:val="008665CB"/>
    <w:rsid w:val="00867CDA"/>
    <w:rsid w:val="008700A6"/>
    <w:rsid w:val="00871CAE"/>
    <w:rsid w:val="0087252B"/>
    <w:rsid w:val="00877F06"/>
    <w:rsid w:val="008801D6"/>
    <w:rsid w:val="00881346"/>
    <w:rsid w:val="0088312D"/>
    <w:rsid w:val="00883A5D"/>
    <w:rsid w:val="00887963"/>
    <w:rsid w:val="00892C04"/>
    <w:rsid w:val="008955A8"/>
    <w:rsid w:val="00895D36"/>
    <w:rsid w:val="00896C02"/>
    <w:rsid w:val="008970DD"/>
    <w:rsid w:val="008A09EB"/>
    <w:rsid w:val="008A2811"/>
    <w:rsid w:val="008A2B0D"/>
    <w:rsid w:val="008A33CB"/>
    <w:rsid w:val="008A4AA8"/>
    <w:rsid w:val="008A7C12"/>
    <w:rsid w:val="008B0ED3"/>
    <w:rsid w:val="008B57FC"/>
    <w:rsid w:val="008B596A"/>
    <w:rsid w:val="008B6609"/>
    <w:rsid w:val="008B66F6"/>
    <w:rsid w:val="008C470D"/>
    <w:rsid w:val="008C51B4"/>
    <w:rsid w:val="008D39DD"/>
    <w:rsid w:val="008D44AF"/>
    <w:rsid w:val="008D4868"/>
    <w:rsid w:val="008E3268"/>
    <w:rsid w:val="008E7E68"/>
    <w:rsid w:val="008F0E46"/>
    <w:rsid w:val="008F21F5"/>
    <w:rsid w:val="008F2D3D"/>
    <w:rsid w:val="008F43BB"/>
    <w:rsid w:val="008F445F"/>
    <w:rsid w:val="008F6B6B"/>
    <w:rsid w:val="008F6C72"/>
    <w:rsid w:val="008F6D36"/>
    <w:rsid w:val="008F7D7E"/>
    <w:rsid w:val="009032A9"/>
    <w:rsid w:val="0090475D"/>
    <w:rsid w:val="00904E73"/>
    <w:rsid w:val="00907D0E"/>
    <w:rsid w:val="00907E4E"/>
    <w:rsid w:val="009130DF"/>
    <w:rsid w:val="009137FB"/>
    <w:rsid w:val="00913C88"/>
    <w:rsid w:val="00914FA7"/>
    <w:rsid w:val="00915FDD"/>
    <w:rsid w:val="009160C0"/>
    <w:rsid w:val="00917891"/>
    <w:rsid w:val="00917D4C"/>
    <w:rsid w:val="00924508"/>
    <w:rsid w:val="00925433"/>
    <w:rsid w:val="009259DE"/>
    <w:rsid w:val="00925FAC"/>
    <w:rsid w:val="00933E12"/>
    <w:rsid w:val="009342CA"/>
    <w:rsid w:val="009370E5"/>
    <w:rsid w:val="009378D4"/>
    <w:rsid w:val="00941ADE"/>
    <w:rsid w:val="00944C25"/>
    <w:rsid w:val="009460EB"/>
    <w:rsid w:val="00946F77"/>
    <w:rsid w:val="00953DFC"/>
    <w:rsid w:val="0095570C"/>
    <w:rsid w:val="009564FD"/>
    <w:rsid w:val="009573D4"/>
    <w:rsid w:val="00957F00"/>
    <w:rsid w:val="00963FC4"/>
    <w:rsid w:val="009641B0"/>
    <w:rsid w:val="009647D4"/>
    <w:rsid w:val="00966777"/>
    <w:rsid w:val="00971F35"/>
    <w:rsid w:val="00972C14"/>
    <w:rsid w:val="00972E84"/>
    <w:rsid w:val="009732AD"/>
    <w:rsid w:val="00975C7C"/>
    <w:rsid w:val="0098071C"/>
    <w:rsid w:val="00980F75"/>
    <w:rsid w:val="00983608"/>
    <w:rsid w:val="00984381"/>
    <w:rsid w:val="00985626"/>
    <w:rsid w:val="009873A2"/>
    <w:rsid w:val="00990105"/>
    <w:rsid w:val="00992CB7"/>
    <w:rsid w:val="00997A26"/>
    <w:rsid w:val="009A0D49"/>
    <w:rsid w:val="009A227B"/>
    <w:rsid w:val="009A3958"/>
    <w:rsid w:val="009A3EAF"/>
    <w:rsid w:val="009A46E2"/>
    <w:rsid w:val="009A5D59"/>
    <w:rsid w:val="009B13F8"/>
    <w:rsid w:val="009B1D6A"/>
    <w:rsid w:val="009B3F11"/>
    <w:rsid w:val="009B42F1"/>
    <w:rsid w:val="009B505F"/>
    <w:rsid w:val="009B5064"/>
    <w:rsid w:val="009B6D0D"/>
    <w:rsid w:val="009C1AC8"/>
    <w:rsid w:val="009C1D74"/>
    <w:rsid w:val="009C7C8E"/>
    <w:rsid w:val="009D239D"/>
    <w:rsid w:val="009D4510"/>
    <w:rsid w:val="009D6871"/>
    <w:rsid w:val="009E0433"/>
    <w:rsid w:val="009E095C"/>
    <w:rsid w:val="009E10C1"/>
    <w:rsid w:val="009E24FC"/>
    <w:rsid w:val="009E2CC1"/>
    <w:rsid w:val="009E3B52"/>
    <w:rsid w:val="009F0828"/>
    <w:rsid w:val="009F2247"/>
    <w:rsid w:val="009F2562"/>
    <w:rsid w:val="009F2E2E"/>
    <w:rsid w:val="009F2F23"/>
    <w:rsid w:val="009F55A0"/>
    <w:rsid w:val="009F6304"/>
    <w:rsid w:val="00A011F2"/>
    <w:rsid w:val="00A024D8"/>
    <w:rsid w:val="00A03B1F"/>
    <w:rsid w:val="00A05853"/>
    <w:rsid w:val="00A07C03"/>
    <w:rsid w:val="00A137CE"/>
    <w:rsid w:val="00A154AD"/>
    <w:rsid w:val="00A15AEB"/>
    <w:rsid w:val="00A206AF"/>
    <w:rsid w:val="00A20C3A"/>
    <w:rsid w:val="00A22A8F"/>
    <w:rsid w:val="00A26D20"/>
    <w:rsid w:val="00A304F6"/>
    <w:rsid w:val="00A3232B"/>
    <w:rsid w:val="00A338AD"/>
    <w:rsid w:val="00A4080A"/>
    <w:rsid w:val="00A412DD"/>
    <w:rsid w:val="00A42239"/>
    <w:rsid w:val="00A42450"/>
    <w:rsid w:val="00A42FAF"/>
    <w:rsid w:val="00A43EA0"/>
    <w:rsid w:val="00A440EA"/>
    <w:rsid w:val="00A44568"/>
    <w:rsid w:val="00A45B71"/>
    <w:rsid w:val="00A472A0"/>
    <w:rsid w:val="00A51199"/>
    <w:rsid w:val="00A52491"/>
    <w:rsid w:val="00A54B74"/>
    <w:rsid w:val="00A55096"/>
    <w:rsid w:val="00A56C41"/>
    <w:rsid w:val="00A61081"/>
    <w:rsid w:val="00A62E32"/>
    <w:rsid w:val="00A63A53"/>
    <w:rsid w:val="00A63EDB"/>
    <w:rsid w:val="00A70F0B"/>
    <w:rsid w:val="00A73689"/>
    <w:rsid w:val="00A76A2F"/>
    <w:rsid w:val="00A80EBB"/>
    <w:rsid w:val="00A8679E"/>
    <w:rsid w:val="00A87236"/>
    <w:rsid w:val="00A8729D"/>
    <w:rsid w:val="00A875D9"/>
    <w:rsid w:val="00A91D6D"/>
    <w:rsid w:val="00A945BC"/>
    <w:rsid w:val="00A974E8"/>
    <w:rsid w:val="00A9784B"/>
    <w:rsid w:val="00AA2A2E"/>
    <w:rsid w:val="00AA48C5"/>
    <w:rsid w:val="00AB0801"/>
    <w:rsid w:val="00AB1449"/>
    <w:rsid w:val="00AB19B7"/>
    <w:rsid w:val="00AB4262"/>
    <w:rsid w:val="00AB5F53"/>
    <w:rsid w:val="00AC2E99"/>
    <w:rsid w:val="00AC596B"/>
    <w:rsid w:val="00AD00DC"/>
    <w:rsid w:val="00AD0F3B"/>
    <w:rsid w:val="00AD706B"/>
    <w:rsid w:val="00AE10CB"/>
    <w:rsid w:val="00AE3D57"/>
    <w:rsid w:val="00AE48E1"/>
    <w:rsid w:val="00AE4951"/>
    <w:rsid w:val="00AE4BC3"/>
    <w:rsid w:val="00AE55D5"/>
    <w:rsid w:val="00AE6AF7"/>
    <w:rsid w:val="00AF4159"/>
    <w:rsid w:val="00AF6005"/>
    <w:rsid w:val="00AF6E0D"/>
    <w:rsid w:val="00B018B7"/>
    <w:rsid w:val="00B06850"/>
    <w:rsid w:val="00B15D09"/>
    <w:rsid w:val="00B1643F"/>
    <w:rsid w:val="00B167DF"/>
    <w:rsid w:val="00B16B3B"/>
    <w:rsid w:val="00B17745"/>
    <w:rsid w:val="00B2223B"/>
    <w:rsid w:val="00B22325"/>
    <w:rsid w:val="00B241DB"/>
    <w:rsid w:val="00B27352"/>
    <w:rsid w:val="00B30302"/>
    <w:rsid w:val="00B308AA"/>
    <w:rsid w:val="00B312B2"/>
    <w:rsid w:val="00B3146D"/>
    <w:rsid w:val="00B31540"/>
    <w:rsid w:val="00B321F1"/>
    <w:rsid w:val="00B33667"/>
    <w:rsid w:val="00B34974"/>
    <w:rsid w:val="00B35AA4"/>
    <w:rsid w:val="00B35B22"/>
    <w:rsid w:val="00B40C3E"/>
    <w:rsid w:val="00B41079"/>
    <w:rsid w:val="00B456F3"/>
    <w:rsid w:val="00B51D15"/>
    <w:rsid w:val="00B5256C"/>
    <w:rsid w:val="00B53C3A"/>
    <w:rsid w:val="00B56F91"/>
    <w:rsid w:val="00B60EA9"/>
    <w:rsid w:val="00B63488"/>
    <w:rsid w:val="00B63AB6"/>
    <w:rsid w:val="00B63FF0"/>
    <w:rsid w:val="00B72029"/>
    <w:rsid w:val="00B74D6C"/>
    <w:rsid w:val="00B75452"/>
    <w:rsid w:val="00B76A65"/>
    <w:rsid w:val="00B76F16"/>
    <w:rsid w:val="00B82F11"/>
    <w:rsid w:val="00B847A2"/>
    <w:rsid w:val="00B85E7F"/>
    <w:rsid w:val="00B86AA7"/>
    <w:rsid w:val="00B87863"/>
    <w:rsid w:val="00BA017A"/>
    <w:rsid w:val="00BA1D27"/>
    <w:rsid w:val="00BA3153"/>
    <w:rsid w:val="00BA6A21"/>
    <w:rsid w:val="00BA7021"/>
    <w:rsid w:val="00BB547D"/>
    <w:rsid w:val="00BB67A1"/>
    <w:rsid w:val="00BB6CD2"/>
    <w:rsid w:val="00BC4008"/>
    <w:rsid w:val="00BC5FE7"/>
    <w:rsid w:val="00BC700E"/>
    <w:rsid w:val="00BC7676"/>
    <w:rsid w:val="00BD09A4"/>
    <w:rsid w:val="00BD0E0A"/>
    <w:rsid w:val="00BD1D48"/>
    <w:rsid w:val="00BD33D2"/>
    <w:rsid w:val="00BD4978"/>
    <w:rsid w:val="00BD4D29"/>
    <w:rsid w:val="00BD7A53"/>
    <w:rsid w:val="00BE019C"/>
    <w:rsid w:val="00BE23FA"/>
    <w:rsid w:val="00BE2BA7"/>
    <w:rsid w:val="00BE3060"/>
    <w:rsid w:val="00BF0476"/>
    <w:rsid w:val="00BF0AB7"/>
    <w:rsid w:val="00BF4789"/>
    <w:rsid w:val="00BF62EC"/>
    <w:rsid w:val="00BF6506"/>
    <w:rsid w:val="00BF692D"/>
    <w:rsid w:val="00BF7FC8"/>
    <w:rsid w:val="00C01528"/>
    <w:rsid w:val="00C06E04"/>
    <w:rsid w:val="00C07128"/>
    <w:rsid w:val="00C104E1"/>
    <w:rsid w:val="00C1066E"/>
    <w:rsid w:val="00C12252"/>
    <w:rsid w:val="00C12257"/>
    <w:rsid w:val="00C122C3"/>
    <w:rsid w:val="00C14792"/>
    <w:rsid w:val="00C17DC8"/>
    <w:rsid w:val="00C2294A"/>
    <w:rsid w:val="00C235E4"/>
    <w:rsid w:val="00C249A4"/>
    <w:rsid w:val="00C2507A"/>
    <w:rsid w:val="00C25E41"/>
    <w:rsid w:val="00C26045"/>
    <w:rsid w:val="00C26467"/>
    <w:rsid w:val="00C26B40"/>
    <w:rsid w:val="00C27B1E"/>
    <w:rsid w:val="00C3204B"/>
    <w:rsid w:val="00C34ECC"/>
    <w:rsid w:val="00C3561B"/>
    <w:rsid w:val="00C402E4"/>
    <w:rsid w:val="00C40571"/>
    <w:rsid w:val="00C41ADA"/>
    <w:rsid w:val="00C4394B"/>
    <w:rsid w:val="00C44665"/>
    <w:rsid w:val="00C47779"/>
    <w:rsid w:val="00C47A9F"/>
    <w:rsid w:val="00C52D8B"/>
    <w:rsid w:val="00C530F1"/>
    <w:rsid w:val="00C5654A"/>
    <w:rsid w:val="00C60C4A"/>
    <w:rsid w:val="00C61237"/>
    <w:rsid w:val="00C61FAE"/>
    <w:rsid w:val="00C62E32"/>
    <w:rsid w:val="00C63433"/>
    <w:rsid w:val="00C64D28"/>
    <w:rsid w:val="00C66071"/>
    <w:rsid w:val="00C67890"/>
    <w:rsid w:val="00C70E41"/>
    <w:rsid w:val="00C70EAF"/>
    <w:rsid w:val="00C71741"/>
    <w:rsid w:val="00C72E64"/>
    <w:rsid w:val="00C73362"/>
    <w:rsid w:val="00C738F3"/>
    <w:rsid w:val="00C740FE"/>
    <w:rsid w:val="00C75C13"/>
    <w:rsid w:val="00C760D6"/>
    <w:rsid w:val="00C82C31"/>
    <w:rsid w:val="00C83491"/>
    <w:rsid w:val="00C84115"/>
    <w:rsid w:val="00C86A9A"/>
    <w:rsid w:val="00C92955"/>
    <w:rsid w:val="00C937A7"/>
    <w:rsid w:val="00C93CBA"/>
    <w:rsid w:val="00C94F41"/>
    <w:rsid w:val="00C961EF"/>
    <w:rsid w:val="00C979C9"/>
    <w:rsid w:val="00CA2A7A"/>
    <w:rsid w:val="00CA2CD3"/>
    <w:rsid w:val="00CA362A"/>
    <w:rsid w:val="00CA375D"/>
    <w:rsid w:val="00CA5C72"/>
    <w:rsid w:val="00CA79B7"/>
    <w:rsid w:val="00CA7F73"/>
    <w:rsid w:val="00CB34E9"/>
    <w:rsid w:val="00CB4633"/>
    <w:rsid w:val="00CC0AD3"/>
    <w:rsid w:val="00CC2C0E"/>
    <w:rsid w:val="00CD5562"/>
    <w:rsid w:val="00CD77AD"/>
    <w:rsid w:val="00CD7D96"/>
    <w:rsid w:val="00CD7E3E"/>
    <w:rsid w:val="00CE127B"/>
    <w:rsid w:val="00CE13E6"/>
    <w:rsid w:val="00CE2645"/>
    <w:rsid w:val="00CE45E6"/>
    <w:rsid w:val="00CE6D52"/>
    <w:rsid w:val="00CF084E"/>
    <w:rsid w:val="00CF2C90"/>
    <w:rsid w:val="00CF4FC8"/>
    <w:rsid w:val="00CF6CBE"/>
    <w:rsid w:val="00D0161C"/>
    <w:rsid w:val="00D01D08"/>
    <w:rsid w:val="00D01FDB"/>
    <w:rsid w:val="00D02916"/>
    <w:rsid w:val="00D06332"/>
    <w:rsid w:val="00D06D3D"/>
    <w:rsid w:val="00D07B83"/>
    <w:rsid w:val="00D12944"/>
    <w:rsid w:val="00D133CA"/>
    <w:rsid w:val="00D162B4"/>
    <w:rsid w:val="00D17956"/>
    <w:rsid w:val="00D2133D"/>
    <w:rsid w:val="00D2146A"/>
    <w:rsid w:val="00D219C7"/>
    <w:rsid w:val="00D21D99"/>
    <w:rsid w:val="00D21DD8"/>
    <w:rsid w:val="00D22AE4"/>
    <w:rsid w:val="00D22B86"/>
    <w:rsid w:val="00D2332E"/>
    <w:rsid w:val="00D23FCA"/>
    <w:rsid w:val="00D25D2B"/>
    <w:rsid w:val="00D27198"/>
    <w:rsid w:val="00D27258"/>
    <w:rsid w:val="00D27F51"/>
    <w:rsid w:val="00D315F6"/>
    <w:rsid w:val="00D31735"/>
    <w:rsid w:val="00D35DB5"/>
    <w:rsid w:val="00D3639A"/>
    <w:rsid w:val="00D43438"/>
    <w:rsid w:val="00D43C72"/>
    <w:rsid w:val="00D45762"/>
    <w:rsid w:val="00D47514"/>
    <w:rsid w:val="00D47D73"/>
    <w:rsid w:val="00D515AF"/>
    <w:rsid w:val="00D53457"/>
    <w:rsid w:val="00D55E46"/>
    <w:rsid w:val="00D56AC7"/>
    <w:rsid w:val="00D61A9A"/>
    <w:rsid w:val="00D63885"/>
    <w:rsid w:val="00D64BBC"/>
    <w:rsid w:val="00D67C7F"/>
    <w:rsid w:val="00D71FE0"/>
    <w:rsid w:val="00D74D8C"/>
    <w:rsid w:val="00D754EF"/>
    <w:rsid w:val="00D75F99"/>
    <w:rsid w:val="00D77E0D"/>
    <w:rsid w:val="00D80112"/>
    <w:rsid w:val="00D84683"/>
    <w:rsid w:val="00D855B6"/>
    <w:rsid w:val="00D859A4"/>
    <w:rsid w:val="00D9183D"/>
    <w:rsid w:val="00D92DA7"/>
    <w:rsid w:val="00D92DCB"/>
    <w:rsid w:val="00D92F55"/>
    <w:rsid w:val="00D95E50"/>
    <w:rsid w:val="00D96AF3"/>
    <w:rsid w:val="00DA55A4"/>
    <w:rsid w:val="00DB2E95"/>
    <w:rsid w:val="00DB3438"/>
    <w:rsid w:val="00DB415C"/>
    <w:rsid w:val="00DB43C2"/>
    <w:rsid w:val="00DB5698"/>
    <w:rsid w:val="00DB6D47"/>
    <w:rsid w:val="00DB6E78"/>
    <w:rsid w:val="00DC0115"/>
    <w:rsid w:val="00DC2CD0"/>
    <w:rsid w:val="00DC3758"/>
    <w:rsid w:val="00DC4177"/>
    <w:rsid w:val="00DC4C87"/>
    <w:rsid w:val="00DD4BBE"/>
    <w:rsid w:val="00DD568D"/>
    <w:rsid w:val="00DD5EE0"/>
    <w:rsid w:val="00DD6631"/>
    <w:rsid w:val="00DD7AE9"/>
    <w:rsid w:val="00DE0081"/>
    <w:rsid w:val="00DE2E49"/>
    <w:rsid w:val="00DE2F07"/>
    <w:rsid w:val="00DE325A"/>
    <w:rsid w:val="00DF06EE"/>
    <w:rsid w:val="00DF085D"/>
    <w:rsid w:val="00DF346A"/>
    <w:rsid w:val="00DF6173"/>
    <w:rsid w:val="00DF6C03"/>
    <w:rsid w:val="00DF6CA0"/>
    <w:rsid w:val="00DF7BFA"/>
    <w:rsid w:val="00E02E26"/>
    <w:rsid w:val="00E03340"/>
    <w:rsid w:val="00E0504E"/>
    <w:rsid w:val="00E07BA9"/>
    <w:rsid w:val="00E13BE8"/>
    <w:rsid w:val="00E162BF"/>
    <w:rsid w:val="00E16E0C"/>
    <w:rsid w:val="00E171B0"/>
    <w:rsid w:val="00E213A0"/>
    <w:rsid w:val="00E249A7"/>
    <w:rsid w:val="00E2510E"/>
    <w:rsid w:val="00E2569A"/>
    <w:rsid w:val="00E25EB1"/>
    <w:rsid w:val="00E27515"/>
    <w:rsid w:val="00E27A44"/>
    <w:rsid w:val="00E311AE"/>
    <w:rsid w:val="00E32F81"/>
    <w:rsid w:val="00E33DD3"/>
    <w:rsid w:val="00E342E6"/>
    <w:rsid w:val="00E3448C"/>
    <w:rsid w:val="00E34DDC"/>
    <w:rsid w:val="00E35E95"/>
    <w:rsid w:val="00E35F62"/>
    <w:rsid w:val="00E43A75"/>
    <w:rsid w:val="00E4791C"/>
    <w:rsid w:val="00E50E0F"/>
    <w:rsid w:val="00E53265"/>
    <w:rsid w:val="00E5431B"/>
    <w:rsid w:val="00E54754"/>
    <w:rsid w:val="00E55C1B"/>
    <w:rsid w:val="00E56875"/>
    <w:rsid w:val="00E61866"/>
    <w:rsid w:val="00E67835"/>
    <w:rsid w:val="00E705BB"/>
    <w:rsid w:val="00E726C7"/>
    <w:rsid w:val="00E73A39"/>
    <w:rsid w:val="00E75C52"/>
    <w:rsid w:val="00E77900"/>
    <w:rsid w:val="00E81141"/>
    <w:rsid w:val="00E81DC4"/>
    <w:rsid w:val="00E83680"/>
    <w:rsid w:val="00E90B8C"/>
    <w:rsid w:val="00E90DE8"/>
    <w:rsid w:val="00E95E60"/>
    <w:rsid w:val="00E971B5"/>
    <w:rsid w:val="00E97209"/>
    <w:rsid w:val="00E97C27"/>
    <w:rsid w:val="00EA00BD"/>
    <w:rsid w:val="00EA0199"/>
    <w:rsid w:val="00EA1941"/>
    <w:rsid w:val="00EA6821"/>
    <w:rsid w:val="00EA6CE0"/>
    <w:rsid w:val="00EA7C33"/>
    <w:rsid w:val="00EB54CD"/>
    <w:rsid w:val="00EC279A"/>
    <w:rsid w:val="00EC547E"/>
    <w:rsid w:val="00EC7D53"/>
    <w:rsid w:val="00ED2340"/>
    <w:rsid w:val="00ED25E1"/>
    <w:rsid w:val="00ED4B2C"/>
    <w:rsid w:val="00EE006F"/>
    <w:rsid w:val="00EE3B6E"/>
    <w:rsid w:val="00EE6FA2"/>
    <w:rsid w:val="00EF018D"/>
    <w:rsid w:val="00F000A0"/>
    <w:rsid w:val="00F0069D"/>
    <w:rsid w:val="00F016DD"/>
    <w:rsid w:val="00F0345A"/>
    <w:rsid w:val="00F05A15"/>
    <w:rsid w:val="00F0717A"/>
    <w:rsid w:val="00F07389"/>
    <w:rsid w:val="00F1094E"/>
    <w:rsid w:val="00F13749"/>
    <w:rsid w:val="00F16974"/>
    <w:rsid w:val="00F176A7"/>
    <w:rsid w:val="00F17F43"/>
    <w:rsid w:val="00F20FD1"/>
    <w:rsid w:val="00F2132E"/>
    <w:rsid w:val="00F21D07"/>
    <w:rsid w:val="00F22D43"/>
    <w:rsid w:val="00F23447"/>
    <w:rsid w:val="00F25D1C"/>
    <w:rsid w:val="00F32BA1"/>
    <w:rsid w:val="00F32E48"/>
    <w:rsid w:val="00F34A0C"/>
    <w:rsid w:val="00F36685"/>
    <w:rsid w:val="00F36731"/>
    <w:rsid w:val="00F372DA"/>
    <w:rsid w:val="00F37E37"/>
    <w:rsid w:val="00F41C87"/>
    <w:rsid w:val="00F42062"/>
    <w:rsid w:val="00F426DA"/>
    <w:rsid w:val="00F42FEA"/>
    <w:rsid w:val="00F4356D"/>
    <w:rsid w:val="00F44CDE"/>
    <w:rsid w:val="00F511AA"/>
    <w:rsid w:val="00F524CA"/>
    <w:rsid w:val="00F539B6"/>
    <w:rsid w:val="00F53E12"/>
    <w:rsid w:val="00F55285"/>
    <w:rsid w:val="00F55B34"/>
    <w:rsid w:val="00F57F43"/>
    <w:rsid w:val="00F61038"/>
    <w:rsid w:val="00F61D38"/>
    <w:rsid w:val="00F625E9"/>
    <w:rsid w:val="00F63E3B"/>
    <w:rsid w:val="00F64501"/>
    <w:rsid w:val="00F7298A"/>
    <w:rsid w:val="00F76007"/>
    <w:rsid w:val="00F77829"/>
    <w:rsid w:val="00F81D14"/>
    <w:rsid w:val="00F8441A"/>
    <w:rsid w:val="00F86BE0"/>
    <w:rsid w:val="00F90580"/>
    <w:rsid w:val="00F92676"/>
    <w:rsid w:val="00F9668F"/>
    <w:rsid w:val="00FA1F03"/>
    <w:rsid w:val="00FA2263"/>
    <w:rsid w:val="00FA305D"/>
    <w:rsid w:val="00FA3ABA"/>
    <w:rsid w:val="00FA568F"/>
    <w:rsid w:val="00FA6681"/>
    <w:rsid w:val="00FB03D1"/>
    <w:rsid w:val="00FB2C9A"/>
    <w:rsid w:val="00FB3C89"/>
    <w:rsid w:val="00FB74AF"/>
    <w:rsid w:val="00FC228A"/>
    <w:rsid w:val="00FC5D60"/>
    <w:rsid w:val="00FC7D38"/>
    <w:rsid w:val="00FD0225"/>
    <w:rsid w:val="00FD2228"/>
    <w:rsid w:val="00FD512D"/>
    <w:rsid w:val="00FD525F"/>
    <w:rsid w:val="00FD5E73"/>
    <w:rsid w:val="00FD7B75"/>
    <w:rsid w:val="00FD7CEA"/>
    <w:rsid w:val="00FE1256"/>
    <w:rsid w:val="00FE23D9"/>
    <w:rsid w:val="00FE4246"/>
    <w:rsid w:val="00FE5DF3"/>
    <w:rsid w:val="00FE7A90"/>
    <w:rsid w:val="00FF07EA"/>
    <w:rsid w:val="00FF09CB"/>
    <w:rsid w:val="00FF1909"/>
    <w:rsid w:val="00FF2A9F"/>
    <w:rsid w:val="00FF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A5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4A1A17"/>
    <w:pPr>
      <w:numPr>
        <w:numId w:val="3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A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91"/>
  </w:style>
  <w:style w:type="paragraph" w:styleId="Stopka">
    <w:name w:val="footer"/>
    <w:basedOn w:val="Normalny"/>
    <w:link w:val="Stopka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91"/>
  </w:style>
  <w:style w:type="paragraph" w:styleId="NormalnyWeb">
    <w:name w:val="Normal (Web)"/>
    <w:basedOn w:val="Normalny"/>
    <w:uiPriority w:val="99"/>
    <w:semiHidden/>
    <w:unhideWhenUsed/>
    <w:rsid w:val="00E8114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81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gwp00936433msonormal">
    <w:name w:val="gwp00936433_msonormal"/>
    <w:basedOn w:val="Normalny"/>
    <w:uiPriority w:val="99"/>
    <w:rsid w:val="00E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13657dcef4ea55a6672ab5a756df947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5645d00086ee1abfcd7043a574df5468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0BB1-361E-457C-A772-5002AC0D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3F6D7-DE25-4693-950F-959E21512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58288-A718-4789-A1AD-5157C6137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E4E10-DDC2-4792-8200-191F136E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9423</Words>
  <Characters>56542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Paprocka</dc:creator>
  <cp:lastModifiedBy>HS</cp:lastModifiedBy>
  <cp:revision>7</cp:revision>
  <dcterms:created xsi:type="dcterms:W3CDTF">2022-09-20T21:29:00Z</dcterms:created>
  <dcterms:modified xsi:type="dcterms:W3CDTF">2023-09-16T09:29:00Z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